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27E6B" w14:textId="64774E53" w:rsidR="0017711C" w:rsidRDefault="005B1070" w:rsidP="005B1070">
      <w:r>
        <w:rPr>
          <w:noProof/>
        </w:rPr>
        <w:drawing>
          <wp:anchor distT="0" distB="0" distL="114300" distR="114300" simplePos="0" relativeHeight="251658240" behindDoc="1" locked="0" layoutInCell="1" allowOverlap="1" wp14:anchorId="2B3D5CA0" wp14:editId="5FE19DC2">
            <wp:simplePos x="0" y="0"/>
            <wp:positionH relativeFrom="column">
              <wp:posOffset>-712382</wp:posOffset>
            </wp:positionH>
            <wp:positionV relativeFrom="paragraph">
              <wp:posOffset>2232837</wp:posOffset>
            </wp:positionV>
            <wp:extent cx="6772939" cy="7144393"/>
            <wp:effectExtent l="0" t="0" r="8890" b="0"/>
            <wp:wrapNone/>
            <wp:docPr id="289578260" name="logo" descr="BVMAC Logo" title="BVM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5181" cy="71889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F45F55" wp14:editId="386479B4">
            <wp:extent cx="5715000" cy="2190750"/>
            <wp:effectExtent l="0" t="0" r="0" b="0"/>
            <wp:docPr id="1" name="banner" descr="BVMAC Banner" title="BVMA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715000" cy="2190750"/>
                    </a:xfrm>
                    <a:prstGeom prst="rect">
                      <a:avLst/>
                    </a:prstGeom>
                  </pic:spPr>
                </pic:pic>
              </a:graphicData>
            </a:graphic>
          </wp:inline>
        </w:drawing>
      </w:r>
    </w:p>
    <w:p w14:paraId="7808B91E" w14:textId="5698C18F" w:rsidR="0017711C" w:rsidRDefault="0017711C">
      <w:pPr>
        <w:spacing w:after="120"/>
      </w:pPr>
    </w:p>
    <w:p w14:paraId="01B2A39F" w14:textId="2ECFE40A" w:rsidR="0017711C" w:rsidRDefault="005B1070">
      <w:pPr>
        <w:jc w:val="center"/>
      </w:pPr>
      <w:r>
        <w:rPr>
          <w:rFonts w:ascii="Aptos" w:hAnsi="Aptos"/>
          <w:noProof/>
          <w:sz w:val="20"/>
          <w:szCs w:val="20"/>
        </w:rPr>
        <mc:AlternateContent>
          <mc:Choice Requires="wps">
            <w:drawing>
              <wp:anchor distT="0" distB="0" distL="114300" distR="114300" simplePos="0" relativeHeight="251660288" behindDoc="0" locked="0" layoutInCell="1" allowOverlap="1" wp14:anchorId="204DCA7C" wp14:editId="3C3F0EAF">
                <wp:simplePos x="0" y="0"/>
                <wp:positionH relativeFrom="column">
                  <wp:posOffset>-446567</wp:posOffset>
                </wp:positionH>
                <wp:positionV relativeFrom="paragraph">
                  <wp:posOffset>199109</wp:posOffset>
                </wp:positionV>
                <wp:extent cx="6649720" cy="4680984"/>
                <wp:effectExtent l="0" t="0" r="0" b="5715"/>
                <wp:wrapNone/>
                <wp:docPr id="27157" name="Zone de texte 27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4680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2078" w14:textId="77777777" w:rsidR="005B1070" w:rsidRPr="00A31924"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rPr>
                                <w:color w:val="632423"/>
                                <w:sz w:val="16"/>
                                <w:szCs w:val="16"/>
                              </w:rPr>
                            </w:pPr>
                          </w:p>
                          <w:p w14:paraId="3E3793C7"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Appel d'offres restreint</w:t>
                            </w:r>
                          </w:p>
                          <w:p w14:paraId="752D209E" w14:textId="069303CE"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sz w:val="36"/>
                                <w:szCs w:val="36"/>
                              </w:rPr>
                              <w:t xml:space="preserve">N°029/04/BVMAC/DSI/02-26 </w:t>
                            </w:r>
                          </w:p>
                          <w:p w14:paraId="5F4939BE"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1739210B" w14:textId="45C02DFA"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bookmarkStart w:id="0" w:name="_Hlk165641693"/>
                            <w:r>
                              <w:rPr>
                                <w:rFonts w:ascii="Montserrat" w:hAnsi="Montserrat"/>
                                <w:b/>
                                <w:color w:val="00B050"/>
                                <w:sz w:val="36"/>
                                <w:szCs w:val="36"/>
                              </w:rPr>
                              <w:t xml:space="preserve">Pour la Formation </w:t>
                            </w:r>
                            <w:bookmarkEnd w:id="0"/>
                            <w:r>
                              <w:rPr>
                                <w:rFonts w:ascii="Montserrat" w:hAnsi="Montserrat"/>
                                <w:b/>
                                <w:color w:val="00B050"/>
                                <w:sz w:val="36"/>
                                <w:szCs w:val="36"/>
                              </w:rPr>
                              <w:t xml:space="preserve">des Agents de la Direction des Systèmes d’Information de la Bourse des Valeurs Mobilières de l’Afrique Centrale </w:t>
                            </w:r>
                          </w:p>
                          <w:p w14:paraId="05B54F82"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(BVMAC)</w:t>
                            </w:r>
                          </w:p>
                          <w:p w14:paraId="17B7DDA9"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03BF4F0D"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D0D0D" w:themeColor="text1" w:themeTint="F2"/>
                                <w:sz w:val="32"/>
                                <w:szCs w:val="32"/>
                              </w:rPr>
                            </w:pPr>
                            <w:r>
                              <w:rPr>
                                <w:rFonts w:ascii="Montserrat" w:hAnsi="Montserrat"/>
                                <w:b/>
                                <w:color w:val="0D0D0D" w:themeColor="text1" w:themeTint="F2"/>
                                <w:sz w:val="32"/>
                                <w:szCs w:val="32"/>
                              </w:rPr>
                              <w:t>Maître d’Ouvrage : BVMAC</w:t>
                            </w:r>
                          </w:p>
                          <w:p w14:paraId="5D48511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3A5C592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w:t>
                            </w:r>
                          </w:p>
                          <w:p w14:paraId="03D590B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TERMES DE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DCA7C" id="_x0000_t202" coordsize="21600,21600" o:spt="202" path="m,l,21600r21600,l21600,xe">
                <v:stroke joinstyle="miter"/>
                <v:path gradientshapeok="t" o:connecttype="rect"/>
              </v:shapetype>
              <v:shape id="Zone de texte 27157" o:spid="_x0000_s1026" type="#_x0000_t202" style="position:absolute;left:0;text-align:left;margin-left:-35.15pt;margin-top:15.7pt;width:523.6pt;height:3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" filled="f" stroked="f">
                <v:textbox>
                  <w:txbxContent>
                    <w:p w14:paraId="78B12078" w14:textId="77777777" w:rsidR="005B1070" w:rsidRPr="00A31924"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rPr>
                          <w:color w:val="632423"/>
                          <w:sz w:val="16"/>
                          <w:szCs w:val="16"/>
                        </w:rPr>
                      </w:pPr>
                    </w:p>
                    <w:p w14:paraId="3E3793C7"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Appel d'offres restreint</w:t>
                      </w:r>
                    </w:p>
                    <w:p w14:paraId="752D209E" w14:textId="069303CE"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sz w:val="36"/>
                          <w:szCs w:val="36"/>
                        </w:rPr>
                        <w:t xml:space="preserve">N°029/04/BVMAC/DSI/02-26 </w:t>
                      </w:r>
                    </w:p>
                    <w:p w14:paraId="5F4939BE"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1739210B" w14:textId="45C02DFA"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bookmarkStart w:id="1" w:name="_Hlk165641693"/>
                      <w:r>
                        <w:rPr>
                          <w:rFonts w:ascii="Montserrat" w:hAnsi="Montserrat"/>
                          <w:b/>
                          <w:color w:val="00B050"/>
                          <w:sz w:val="36"/>
                          <w:szCs w:val="36"/>
                        </w:rPr>
                        <w:t xml:space="preserve">Pour la Formation </w:t>
                      </w:r>
                      <w:bookmarkEnd w:id="1"/>
                      <w:r>
                        <w:rPr>
                          <w:rFonts w:ascii="Montserrat" w:hAnsi="Montserrat"/>
                          <w:b/>
                          <w:color w:val="00B050"/>
                          <w:sz w:val="36"/>
                          <w:szCs w:val="36"/>
                        </w:rPr>
                        <w:t xml:space="preserve">des Agents de la Direction des Systèmes d’Information de la Bourse des Valeurs Mobilières de l’Afrique Centrale </w:t>
                      </w:r>
                    </w:p>
                    <w:p w14:paraId="05B54F82"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(BVMAC)</w:t>
                      </w:r>
                    </w:p>
                    <w:p w14:paraId="17B7DDA9"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03BF4F0D"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D0D0D" w:themeColor="text1" w:themeTint="F2"/>
                          <w:sz w:val="32"/>
                          <w:szCs w:val="32"/>
                        </w:rPr>
                      </w:pPr>
                      <w:r>
                        <w:rPr>
                          <w:rFonts w:ascii="Montserrat" w:hAnsi="Montserrat"/>
                          <w:b/>
                          <w:color w:val="0D0D0D" w:themeColor="text1" w:themeTint="F2"/>
                          <w:sz w:val="32"/>
                          <w:szCs w:val="32"/>
                        </w:rPr>
                        <w:t>Maître d’Ouvrage : BVMAC</w:t>
                      </w:r>
                    </w:p>
                    <w:p w14:paraId="5D48511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p>
                    <w:p w14:paraId="3A5C592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w:t>
                      </w:r>
                    </w:p>
                    <w:p w14:paraId="03D590BB" w14:textId="77777777" w:rsidR="005B1070" w:rsidRPr="001C6D7F" w:rsidRDefault="005B1070" w:rsidP="005B1070">
                      <w:pPr>
                        <w:pBdr>
                          <w:top w:val="thinThickThinMediumGap" w:sz="24" w:space="11" w:color="BF8F00"/>
                          <w:left w:val="thinThickThinMediumGap" w:sz="24" w:space="4" w:color="BF8F00"/>
                          <w:bottom w:val="thinThickThinMediumGap" w:sz="24" w:space="1" w:color="BF8F00"/>
                          <w:right w:val="thinThickThinMediumGap" w:sz="24" w:space="4" w:color="BF8F00"/>
                        </w:pBdr>
                        <w:shd w:val="clear" w:color="auto" w:fill="FFFFFF"/>
                        <w:jc w:val="center"/>
                        <w:rPr>
                          <w:rFonts w:ascii="Montserrat" w:hAnsi="Montserrat"/>
                          <w:b/>
                          <w:color w:val="00B050"/>
                          <w:sz w:val="36"/>
                          <w:szCs w:val="36"/>
                        </w:rPr>
                      </w:pPr>
                      <w:r>
                        <w:rPr>
                          <w:rFonts w:ascii="Montserrat" w:hAnsi="Montserrat"/>
                          <w:b/>
                          <w:color w:val="00B050"/>
                          <w:sz w:val="36"/>
                          <w:szCs w:val="36"/>
                        </w:rPr>
                        <w:t>TERMES DE REFERENCE</w:t>
                      </w:r>
                    </w:p>
                  </w:txbxContent>
                </v:textbox>
              </v:shape>
            </w:pict>
          </mc:Fallback>
        </mc:AlternateContent>
      </w:r>
    </w:p>
    <w:p w14:paraId="3D3BB7A5" w14:textId="0CDD65BD" w:rsidR="0017711C" w:rsidRDefault="0017711C">
      <w:pPr>
        <w:spacing w:after="120"/>
      </w:pPr>
    </w:p>
    <w:p w14:paraId="58703582" w14:textId="13C6058E" w:rsidR="005B1070" w:rsidRDefault="005B1070">
      <w:pPr>
        <w:pStyle w:val="Titre1"/>
        <w:spacing w:after="300"/>
      </w:pPr>
    </w:p>
    <w:p w14:paraId="184D11D2" w14:textId="6663F43F" w:rsidR="005B1070" w:rsidRDefault="005B1070">
      <w:pPr>
        <w:pStyle w:val="Titre1"/>
        <w:spacing w:after="300"/>
      </w:pPr>
    </w:p>
    <w:p w14:paraId="321743D5" w14:textId="77777777" w:rsidR="005B1070" w:rsidRDefault="005B1070">
      <w:pPr>
        <w:pStyle w:val="Titre1"/>
        <w:spacing w:after="300"/>
      </w:pPr>
    </w:p>
    <w:p w14:paraId="1C294F57" w14:textId="77777777" w:rsidR="005B1070" w:rsidRDefault="005B1070">
      <w:pPr>
        <w:pStyle w:val="Titre1"/>
        <w:spacing w:after="300"/>
      </w:pPr>
    </w:p>
    <w:p w14:paraId="528743CF" w14:textId="77777777" w:rsidR="005B1070" w:rsidRDefault="005B1070">
      <w:pPr>
        <w:pStyle w:val="Titre1"/>
        <w:spacing w:after="300"/>
      </w:pPr>
    </w:p>
    <w:p w14:paraId="2347295C" w14:textId="77777777" w:rsidR="005B1070" w:rsidRDefault="005B1070">
      <w:pPr>
        <w:pStyle w:val="Titre1"/>
        <w:spacing w:after="300"/>
      </w:pPr>
    </w:p>
    <w:p w14:paraId="359F8320" w14:textId="77777777" w:rsidR="005B1070" w:rsidRDefault="005B1070">
      <w:pPr>
        <w:pStyle w:val="Titre1"/>
        <w:spacing w:after="300"/>
      </w:pPr>
    </w:p>
    <w:p w14:paraId="269C19B4" w14:textId="77777777" w:rsidR="005B1070" w:rsidRDefault="005B1070">
      <w:pPr>
        <w:pStyle w:val="Titre1"/>
        <w:spacing w:after="300"/>
      </w:pPr>
    </w:p>
    <w:p w14:paraId="13606519" w14:textId="77777777" w:rsidR="005B1070" w:rsidRDefault="005B1070">
      <w:pPr>
        <w:pStyle w:val="Titre1"/>
        <w:spacing w:after="300"/>
      </w:pPr>
    </w:p>
    <w:p w14:paraId="1E44EB3E" w14:textId="77777777" w:rsidR="005B1070" w:rsidRDefault="005B1070">
      <w:pPr>
        <w:pStyle w:val="Titre1"/>
        <w:spacing w:after="300"/>
      </w:pPr>
    </w:p>
    <w:p w14:paraId="3372F6FB" w14:textId="77777777" w:rsidR="005B1070" w:rsidRDefault="005B1070">
      <w:pPr>
        <w:pStyle w:val="Titre1"/>
        <w:spacing w:after="300"/>
      </w:pPr>
    </w:p>
    <w:p w14:paraId="45228490" w14:textId="77777777" w:rsidR="005B1070" w:rsidRDefault="005B1070">
      <w:pPr>
        <w:pStyle w:val="Titre1"/>
        <w:spacing w:after="300"/>
      </w:pPr>
    </w:p>
    <w:p w14:paraId="01F3D466" w14:textId="77777777" w:rsidR="005B049E" w:rsidRDefault="005B049E">
      <w:pPr>
        <w:pStyle w:val="Titre1"/>
        <w:spacing w:after="300"/>
      </w:pPr>
    </w:p>
    <w:p w14:paraId="5EE49D3C" w14:textId="0227F4B2" w:rsidR="0017711C" w:rsidRDefault="00DA10C4">
      <w:pPr>
        <w:pStyle w:val="Titre1"/>
        <w:spacing w:after="300"/>
      </w:pPr>
      <w:bookmarkStart w:id="2" w:name="_Toc227736902"/>
      <w:r>
        <w:lastRenderedPageBreak/>
        <w:t>TABLE DES MATIÈRES</w:t>
      </w:r>
      <w:bookmarkEnd w:id="2"/>
    </w:p>
    <w:sdt>
      <w:sdtPr>
        <w:rPr>
          <w:sz w:val="6"/>
          <w:szCs w:val="6"/>
        </w:rPr>
        <w:alias w:val="Table des matières"/>
        <w:id w:val="-1878765052"/>
      </w:sdtPr>
      <w:sdtContent>
        <w:p w14:paraId="6A63B91D" w14:textId="0BF22D45" w:rsidR="00CF4E5A" w:rsidRDefault="00DA10C4">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r>
            <w:rPr>
              <w:sz w:val="6"/>
              <w:szCs w:val="6"/>
            </w:rPr>
            <w:fldChar w:fldCharType="begin"/>
          </w:r>
          <w:r>
            <w:rPr>
              <w:sz w:val="6"/>
              <w:szCs w:val="6"/>
            </w:rPr>
            <w:instrText>TOC \h \o "1-3"</w:instrText>
          </w:r>
          <w:r>
            <w:rPr>
              <w:sz w:val="6"/>
              <w:szCs w:val="6"/>
            </w:rPr>
            <w:fldChar w:fldCharType="separate"/>
          </w:r>
          <w:hyperlink w:anchor="_Toc227736902" w:history="1">
            <w:r w:rsidR="00CF4E5A" w:rsidRPr="00B61420">
              <w:rPr>
                <w:rStyle w:val="Lienhypertexte"/>
                <w:noProof/>
              </w:rPr>
              <w:t>TABLE DES MATIÈRES</w:t>
            </w:r>
            <w:r w:rsidR="00CF4E5A">
              <w:rPr>
                <w:noProof/>
              </w:rPr>
              <w:tab/>
            </w:r>
            <w:r w:rsidR="00CF4E5A">
              <w:rPr>
                <w:noProof/>
              </w:rPr>
              <w:fldChar w:fldCharType="begin"/>
            </w:r>
            <w:r w:rsidR="00CF4E5A">
              <w:rPr>
                <w:noProof/>
              </w:rPr>
              <w:instrText xml:space="preserve"> PAGEREF _Toc227736902 \h </w:instrText>
            </w:r>
            <w:r w:rsidR="00CF4E5A">
              <w:rPr>
                <w:noProof/>
              </w:rPr>
            </w:r>
            <w:r w:rsidR="00CF4E5A">
              <w:rPr>
                <w:noProof/>
              </w:rPr>
              <w:fldChar w:fldCharType="separate"/>
            </w:r>
            <w:r w:rsidR="00CF4E5A">
              <w:rPr>
                <w:noProof/>
              </w:rPr>
              <w:t>2</w:t>
            </w:r>
            <w:r w:rsidR="00CF4E5A">
              <w:rPr>
                <w:noProof/>
              </w:rPr>
              <w:fldChar w:fldCharType="end"/>
            </w:r>
          </w:hyperlink>
        </w:p>
        <w:p w14:paraId="0EC18E7D" w14:textId="1F43472F"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3" w:history="1">
            <w:r w:rsidRPr="00B61420">
              <w:rPr>
                <w:rStyle w:val="Lienhypertexte"/>
                <w:noProof/>
              </w:rPr>
              <w:t>PARTIE I – DISPOSITIONS GÉNÉRALES</w:t>
            </w:r>
            <w:r>
              <w:rPr>
                <w:noProof/>
              </w:rPr>
              <w:tab/>
            </w:r>
            <w:r>
              <w:rPr>
                <w:noProof/>
              </w:rPr>
              <w:fldChar w:fldCharType="begin"/>
            </w:r>
            <w:r>
              <w:rPr>
                <w:noProof/>
              </w:rPr>
              <w:instrText xml:space="preserve"> PAGEREF _Toc227736903 \h </w:instrText>
            </w:r>
            <w:r>
              <w:rPr>
                <w:noProof/>
              </w:rPr>
            </w:r>
            <w:r>
              <w:rPr>
                <w:noProof/>
              </w:rPr>
              <w:fldChar w:fldCharType="separate"/>
            </w:r>
            <w:r>
              <w:rPr>
                <w:noProof/>
              </w:rPr>
              <w:t>5</w:t>
            </w:r>
            <w:r>
              <w:rPr>
                <w:noProof/>
              </w:rPr>
              <w:fldChar w:fldCharType="end"/>
            </w:r>
          </w:hyperlink>
        </w:p>
        <w:p w14:paraId="32841C0A" w14:textId="13ED07CA"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4" w:history="1">
            <w:r w:rsidRPr="00B61420">
              <w:rPr>
                <w:rStyle w:val="Lienhypertexte"/>
                <w:noProof/>
              </w:rPr>
              <w:t>1. Présentation de la BVMAC</w:t>
            </w:r>
            <w:r>
              <w:rPr>
                <w:noProof/>
              </w:rPr>
              <w:tab/>
            </w:r>
            <w:r>
              <w:rPr>
                <w:noProof/>
              </w:rPr>
              <w:fldChar w:fldCharType="begin"/>
            </w:r>
            <w:r>
              <w:rPr>
                <w:noProof/>
              </w:rPr>
              <w:instrText xml:space="preserve"> PAGEREF _Toc227736904 \h </w:instrText>
            </w:r>
            <w:r>
              <w:rPr>
                <w:noProof/>
              </w:rPr>
            </w:r>
            <w:r>
              <w:rPr>
                <w:noProof/>
              </w:rPr>
              <w:fldChar w:fldCharType="separate"/>
            </w:r>
            <w:r>
              <w:rPr>
                <w:noProof/>
              </w:rPr>
              <w:t>5</w:t>
            </w:r>
            <w:r>
              <w:rPr>
                <w:noProof/>
              </w:rPr>
              <w:fldChar w:fldCharType="end"/>
            </w:r>
          </w:hyperlink>
        </w:p>
        <w:p w14:paraId="1134822E" w14:textId="370D5E86"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5" w:history="1">
            <w:r w:rsidRPr="00B61420">
              <w:rPr>
                <w:rStyle w:val="Lienhypertexte"/>
                <w:noProof/>
              </w:rPr>
              <w:t>2. Objet du présent appel d’offres</w:t>
            </w:r>
            <w:r>
              <w:rPr>
                <w:noProof/>
              </w:rPr>
              <w:tab/>
            </w:r>
            <w:r>
              <w:rPr>
                <w:noProof/>
              </w:rPr>
              <w:fldChar w:fldCharType="begin"/>
            </w:r>
            <w:r>
              <w:rPr>
                <w:noProof/>
              </w:rPr>
              <w:instrText xml:space="preserve"> PAGEREF _Toc227736905 \h </w:instrText>
            </w:r>
            <w:r>
              <w:rPr>
                <w:noProof/>
              </w:rPr>
            </w:r>
            <w:r>
              <w:rPr>
                <w:noProof/>
              </w:rPr>
              <w:fldChar w:fldCharType="separate"/>
            </w:r>
            <w:r>
              <w:rPr>
                <w:noProof/>
              </w:rPr>
              <w:t>5</w:t>
            </w:r>
            <w:r>
              <w:rPr>
                <w:noProof/>
              </w:rPr>
              <w:fldChar w:fldCharType="end"/>
            </w:r>
          </w:hyperlink>
        </w:p>
        <w:p w14:paraId="2672CA52" w14:textId="14DCB22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6" w:history="1">
            <w:r w:rsidRPr="00B61420">
              <w:rPr>
                <w:rStyle w:val="Lienhypertexte"/>
                <w:noProof/>
              </w:rPr>
              <w:t>3. Récapitulatif des lots</w:t>
            </w:r>
            <w:r>
              <w:rPr>
                <w:noProof/>
              </w:rPr>
              <w:tab/>
            </w:r>
            <w:r>
              <w:rPr>
                <w:noProof/>
              </w:rPr>
              <w:fldChar w:fldCharType="begin"/>
            </w:r>
            <w:r>
              <w:rPr>
                <w:noProof/>
              </w:rPr>
              <w:instrText xml:space="preserve"> PAGEREF _Toc227736906 \h </w:instrText>
            </w:r>
            <w:r>
              <w:rPr>
                <w:noProof/>
              </w:rPr>
            </w:r>
            <w:r>
              <w:rPr>
                <w:noProof/>
              </w:rPr>
              <w:fldChar w:fldCharType="separate"/>
            </w:r>
            <w:r>
              <w:rPr>
                <w:noProof/>
              </w:rPr>
              <w:t>5</w:t>
            </w:r>
            <w:r>
              <w:rPr>
                <w:noProof/>
              </w:rPr>
              <w:fldChar w:fldCharType="end"/>
            </w:r>
          </w:hyperlink>
        </w:p>
        <w:p w14:paraId="1CC87AB1" w14:textId="45A7C62E"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7" w:history="1">
            <w:r w:rsidRPr="00B61420">
              <w:rPr>
                <w:rStyle w:val="Lienhypertexte"/>
                <w:noProof/>
              </w:rPr>
              <w:t>PARTIE II – DESCRIPTION DES LOTS</w:t>
            </w:r>
            <w:r>
              <w:rPr>
                <w:noProof/>
              </w:rPr>
              <w:tab/>
            </w:r>
            <w:r>
              <w:rPr>
                <w:noProof/>
              </w:rPr>
              <w:fldChar w:fldCharType="begin"/>
            </w:r>
            <w:r>
              <w:rPr>
                <w:noProof/>
              </w:rPr>
              <w:instrText xml:space="preserve"> PAGEREF _Toc227736907 \h </w:instrText>
            </w:r>
            <w:r>
              <w:rPr>
                <w:noProof/>
              </w:rPr>
            </w:r>
            <w:r>
              <w:rPr>
                <w:noProof/>
              </w:rPr>
              <w:fldChar w:fldCharType="separate"/>
            </w:r>
            <w:r>
              <w:rPr>
                <w:noProof/>
              </w:rPr>
              <w:t>6</w:t>
            </w:r>
            <w:r>
              <w:rPr>
                <w:noProof/>
              </w:rPr>
              <w:fldChar w:fldCharType="end"/>
            </w:r>
          </w:hyperlink>
        </w:p>
        <w:p w14:paraId="5217960A" w14:textId="273C70F7"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8" w:history="1">
            <w:r w:rsidRPr="00B61420">
              <w:rPr>
                <w:rStyle w:val="Lienhypertexte"/>
                <w:noProof/>
              </w:rPr>
              <w:t>LOT 1 : Formation Fortinet NSE 4 (Pare-feu FortiGate)</w:t>
            </w:r>
            <w:r>
              <w:rPr>
                <w:noProof/>
              </w:rPr>
              <w:tab/>
            </w:r>
            <w:r>
              <w:rPr>
                <w:noProof/>
              </w:rPr>
              <w:fldChar w:fldCharType="begin"/>
            </w:r>
            <w:r>
              <w:rPr>
                <w:noProof/>
              </w:rPr>
              <w:instrText xml:space="preserve"> PAGEREF _Toc227736908 \h </w:instrText>
            </w:r>
            <w:r>
              <w:rPr>
                <w:noProof/>
              </w:rPr>
            </w:r>
            <w:r>
              <w:rPr>
                <w:noProof/>
              </w:rPr>
              <w:fldChar w:fldCharType="separate"/>
            </w:r>
            <w:r>
              <w:rPr>
                <w:noProof/>
              </w:rPr>
              <w:t>6</w:t>
            </w:r>
            <w:r>
              <w:rPr>
                <w:noProof/>
              </w:rPr>
              <w:fldChar w:fldCharType="end"/>
            </w:r>
          </w:hyperlink>
        </w:p>
        <w:p w14:paraId="6DE3F13F" w14:textId="5E82BF1C"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09" w:history="1">
            <w:r w:rsidRPr="00B61420">
              <w:rPr>
                <w:rStyle w:val="Lienhypertexte"/>
                <w:noProof/>
              </w:rPr>
              <w:t>1.1. Contexte et justification</w:t>
            </w:r>
            <w:r>
              <w:rPr>
                <w:noProof/>
              </w:rPr>
              <w:tab/>
            </w:r>
            <w:r>
              <w:rPr>
                <w:noProof/>
              </w:rPr>
              <w:fldChar w:fldCharType="begin"/>
            </w:r>
            <w:r>
              <w:rPr>
                <w:noProof/>
              </w:rPr>
              <w:instrText xml:space="preserve"> PAGEREF _Toc227736909 \h </w:instrText>
            </w:r>
            <w:r>
              <w:rPr>
                <w:noProof/>
              </w:rPr>
            </w:r>
            <w:r>
              <w:rPr>
                <w:noProof/>
              </w:rPr>
              <w:fldChar w:fldCharType="separate"/>
            </w:r>
            <w:r>
              <w:rPr>
                <w:noProof/>
              </w:rPr>
              <w:t>6</w:t>
            </w:r>
            <w:r>
              <w:rPr>
                <w:noProof/>
              </w:rPr>
              <w:fldChar w:fldCharType="end"/>
            </w:r>
          </w:hyperlink>
        </w:p>
        <w:p w14:paraId="5CAAE224" w14:textId="3547110A"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0" w:history="1">
            <w:r w:rsidRPr="00B61420">
              <w:rPr>
                <w:rStyle w:val="Lienhypertexte"/>
                <w:noProof/>
              </w:rPr>
              <w:t>1.2. Objectifs du lot</w:t>
            </w:r>
            <w:r>
              <w:rPr>
                <w:noProof/>
              </w:rPr>
              <w:tab/>
            </w:r>
            <w:r>
              <w:rPr>
                <w:noProof/>
              </w:rPr>
              <w:fldChar w:fldCharType="begin"/>
            </w:r>
            <w:r>
              <w:rPr>
                <w:noProof/>
              </w:rPr>
              <w:instrText xml:space="preserve"> PAGEREF _Toc227736910 \h </w:instrText>
            </w:r>
            <w:r>
              <w:rPr>
                <w:noProof/>
              </w:rPr>
            </w:r>
            <w:r>
              <w:rPr>
                <w:noProof/>
              </w:rPr>
              <w:fldChar w:fldCharType="separate"/>
            </w:r>
            <w:r>
              <w:rPr>
                <w:noProof/>
              </w:rPr>
              <w:t>6</w:t>
            </w:r>
            <w:r>
              <w:rPr>
                <w:noProof/>
              </w:rPr>
              <w:fldChar w:fldCharType="end"/>
            </w:r>
          </w:hyperlink>
        </w:p>
        <w:p w14:paraId="22B25A6B" w14:textId="0875093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1" w:history="1">
            <w:r w:rsidRPr="00B61420">
              <w:rPr>
                <w:rStyle w:val="Lienhypertexte"/>
                <w:noProof/>
              </w:rPr>
              <w:t>1.3. Définition des travaux</w:t>
            </w:r>
            <w:r>
              <w:rPr>
                <w:noProof/>
              </w:rPr>
              <w:tab/>
            </w:r>
            <w:r>
              <w:rPr>
                <w:noProof/>
              </w:rPr>
              <w:fldChar w:fldCharType="begin"/>
            </w:r>
            <w:r>
              <w:rPr>
                <w:noProof/>
              </w:rPr>
              <w:instrText xml:space="preserve"> PAGEREF _Toc227736911 \h </w:instrText>
            </w:r>
            <w:r>
              <w:rPr>
                <w:noProof/>
              </w:rPr>
            </w:r>
            <w:r>
              <w:rPr>
                <w:noProof/>
              </w:rPr>
              <w:fldChar w:fldCharType="separate"/>
            </w:r>
            <w:r>
              <w:rPr>
                <w:noProof/>
              </w:rPr>
              <w:t>6</w:t>
            </w:r>
            <w:r>
              <w:rPr>
                <w:noProof/>
              </w:rPr>
              <w:fldChar w:fldCharType="end"/>
            </w:r>
          </w:hyperlink>
        </w:p>
        <w:p w14:paraId="2F437E75" w14:textId="43BA9CE9"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2" w:history="1">
            <w:r w:rsidRPr="00B61420">
              <w:rPr>
                <w:rStyle w:val="Lienhypertexte"/>
                <w:noProof/>
              </w:rPr>
              <w:t>1.4. Spécifications techniques</w:t>
            </w:r>
            <w:r>
              <w:rPr>
                <w:noProof/>
              </w:rPr>
              <w:tab/>
            </w:r>
            <w:r>
              <w:rPr>
                <w:noProof/>
              </w:rPr>
              <w:fldChar w:fldCharType="begin"/>
            </w:r>
            <w:r>
              <w:rPr>
                <w:noProof/>
              </w:rPr>
              <w:instrText xml:space="preserve"> PAGEREF _Toc227736912 \h </w:instrText>
            </w:r>
            <w:r>
              <w:rPr>
                <w:noProof/>
              </w:rPr>
            </w:r>
            <w:r>
              <w:rPr>
                <w:noProof/>
              </w:rPr>
              <w:fldChar w:fldCharType="separate"/>
            </w:r>
            <w:r>
              <w:rPr>
                <w:noProof/>
              </w:rPr>
              <w:t>6</w:t>
            </w:r>
            <w:r>
              <w:rPr>
                <w:noProof/>
              </w:rPr>
              <w:fldChar w:fldCharType="end"/>
            </w:r>
          </w:hyperlink>
        </w:p>
        <w:p w14:paraId="4B572233" w14:textId="69C484DC"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3" w:history="1">
            <w:r w:rsidRPr="00B61420">
              <w:rPr>
                <w:rStyle w:val="Lienhypertexte"/>
                <w:noProof/>
              </w:rPr>
              <w:t>LOT 2 : Formation ISO 27001 Lead Implementer</w:t>
            </w:r>
            <w:r>
              <w:rPr>
                <w:noProof/>
              </w:rPr>
              <w:tab/>
            </w:r>
            <w:r>
              <w:rPr>
                <w:noProof/>
              </w:rPr>
              <w:fldChar w:fldCharType="begin"/>
            </w:r>
            <w:r>
              <w:rPr>
                <w:noProof/>
              </w:rPr>
              <w:instrText xml:space="preserve"> PAGEREF _Toc227736913 \h </w:instrText>
            </w:r>
            <w:r>
              <w:rPr>
                <w:noProof/>
              </w:rPr>
            </w:r>
            <w:r>
              <w:rPr>
                <w:noProof/>
              </w:rPr>
              <w:fldChar w:fldCharType="separate"/>
            </w:r>
            <w:r>
              <w:rPr>
                <w:noProof/>
              </w:rPr>
              <w:t>8</w:t>
            </w:r>
            <w:r>
              <w:rPr>
                <w:noProof/>
              </w:rPr>
              <w:fldChar w:fldCharType="end"/>
            </w:r>
          </w:hyperlink>
        </w:p>
        <w:p w14:paraId="68C7D43E" w14:textId="655DD27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4" w:history="1">
            <w:r w:rsidRPr="00B61420">
              <w:rPr>
                <w:rStyle w:val="Lienhypertexte"/>
                <w:noProof/>
              </w:rPr>
              <w:t>2.1. Contexte et justification</w:t>
            </w:r>
            <w:r>
              <w:rPr>
                <w:noProof/>
              </w:rPr>
              <w:tab/>
            </w:r>
            <w:r>
              <w:rPr>
                <w:noProof/>
              </w:rPr>
              <w:fldChar w:fldCharType="begin"/>
            </w:r>
            <w:r>
              <w:rPr>
                <w:noProof/>
              </w:rPr>
              <w:instrText xml:space="preserve"> PAGEREF _Toc227736914 \h </w:instrText>
            </w:r>
            <w:r>
              <w:rPr>
                <w:noProof/>
              </w:rPr>
            </w:r>
            <w:r>
              <w:rPr>
                <w:noProof/>
              </w:rPr>
              <w:fldChar w:fldCharType="separate"/>
            </w:r>
            <w:r>
              <w:rPr>
                <w:noProof/>
              </w:rPr>
              <w:t>8</w:t>
            </w:r>
            <w:r>
              <w:rPr>
                <w:noProof/>
              </w:rPr>
              <w:fldChar w:fldCharType="end"/>
            </w:r>
          </w:hyperlink>
        </w:p>
        <w:p w14:paraId="552646EF" w14:textId="03155E9B"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5" w:history="1">
            <w:r w:rsidRPr="00B61420">
              <w:rPr>
                <w:rStyle w:val="Lienhypertexte"/>
                <w:noProof/>
              </w:rPr>
              <w:t>2.2. Objectifs du lot</w:t>
            </w:r>
            <w:r>
              <w:rPr>
                <w:noProof/>
              </w:rPr>
              <w:tab/>
            </w:r>
            <w:r>
              <w:rPr>
                <w:noProof/>
              </w:rPr>
              <w:fldChar w:fldCharType="begin"/>
            </w:r>
            <w:r>
              <w:rPr>
                <w:noProof/>
              </w:rPr>
              <w:instrText xml:space="preserve"> PAGEREF _Toc227736915 \h </w:instrText>
            </w:r>
            <w:r>
              <w:rPr>
                <w:noProof/>
              </w:rPr>
            </w:r>
            <w:r>
              <w:rPr>
                <w:noProof/>
              </w:rPr>
              <w:fldChar w:fldCharType="separate"/>
            </w:r>
            <w:r>
              <w:rPr>
                <w:noProof/>
              </w:rPr>
              <w:t>8</w:t>
            </w:r>
            <w:r>
              <w:rPr>
                <w:noProof/>
              </w:rPr>
              <w:fldChar w:fldCharType="end"/>
            </w:r>
          </w:hyperlink>
        </w:p>
        <w:p w14:paraId="387C14B1" w14:textId="21C389F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6" w:history="1">
            <w:r w:rsidRPr="00B61420">
              <w:rPr>
                <w:rStyle w:val="Lienhypertexte"/>
                <w:noProof/>
              </w:rPr>
              <w:t>2.3. Définition des travaux</w:t>
            </w:r>
            <w:r>
              <w:rPr>
                <w:noProof/>
              </w:rPr>
              <w:tab/>
            </w:r>
            <w:r>
              <w:rPr>
                <w:noProof/>
              </w:rPr>
              <w:fldChar w:fldCharType="begin"/>
            </w:r>
            <w:r>
              <w:rPr>
                <w:noProof/>
              </w:rPr>
              <w:instrText xml:space="preserve"> PAGEREF _Toc227736916 \h </w:instrText>
            </w:r>
            <w:r>
              <w:rPr>
                <w:noProof/>
              </w:rPr>
            </w:r>
            <w:r>
              <w:rPr>
                <w:noProof/>
              </w:rPr>
              <w:fldChar w:fldCharType="separate"/>
            </w:r>
            <w:r>
              <w:rPr>
                <w:noProof/>
              </w:rPr>
              <w:t>8</w:t>
            </w:r>
            <w:r>
              <w:rPr>
                <w:noProof/>
              </w:rPr>
              <w:fldChar w:fldCharType="end"/>
            </w:r>
          </w:hyperlink>
        </w:p>
        <w:p w14:paraId="0B32AA4A" w14:textId="16A05452"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7" w:history="1">
            <w:r w:rsidRPr="00B61420">
              <w:rPr>
                <w:rStyle w:val="Lienhypertexte"/>
                <w:noProof/>
              </w:rPr>
              <w:t>2.4. Spécifications techniques</w:t>
            </w:r>
            <w:r>
              <w:rPr>
                <w:noProof/>
              </w:rPr>
              <w:tab/>
            </w:r>
            <w:r>
              <w:rPr>
                <w:noProof/>
              </w:rPr>
              <w:fldChar w:fldCharType="begin"/>
            </w:r>
            <w:r>
              <w:rPr>
                <w:noProof/>
              </w:rPr>
              <w:instrText xml:space="preserve"> PAGEREF _Toc227736917 \h </w:instrText>
            </w:r>
            <w:r>
              <w:rPr>
                <w:noProof/>
              </w:rPr>
            </w:r>
            <w:r>
              <w:rPr>
                <w:noProof/>
              </w:rPr>
              <w:fldChar w:fldCharType="separate"/>
            </w:r>
            <w:r>
              <w:rPr>
                <w:noProof/>
              </w:rPr>
              <w:t>8</w:t>
            </w:r>
            <w:r>
              <w:rPr>
                <w:noProof/>
              </w:rPr>
              <w:fldChar w:fldCharType="end"/>
            </w:r>
          </w:hyperlink>
        </w:p>
        <w:p w14:paraId="31BB8025" w14:textId="762EC46A"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8" w:history="1">
            <w:r w:rsidRPr="00B61420">
              <w:rPr>
                <w:rStyle w:val="Lienhypertexte"/>
                <w:noProof/>
              </w:rPr>
              <w:t>LOT 3 : Formation ITIL (Information Technology Infrastructure Library)</w:t>
            </w:r>
            <w:r>
              <w:rPr>
                <w:noProof/>
              </w:rPr>
              <w:tab/>
            </w:r>
            <w:r>
              <w:rPr>
                <w:noProof/>
              </w:rPr>
              <w:fldChar w:fldCharType="begin"/>
            </w:r>
            <w:r>
              <w:rPr>
                <w:noProof/>
              </w:rPr>
              <w:instrText xml:space="preserve"> PAGEREF _Toc227736918 \h </w:instrText>
            </w:r>
            <w:r>
              <w:rPr>
                <w:noProof/>
              </w:rPr>
            </w:r>
            <w:r>
              <w:rPr>
                <w:noProof/>
              </w:rPr>
              <w:fldChar w:fldCharType="separate"/>
            </w:r>
            <w:r>
              <w:rPr>
                <w:noProof/>
              </w:rPr>
              <w:t>9</w:t>
            </w:r>
            <w:r>
              <w:rPr>
                <w:noProof/>
              </w:rPr>
              <w:fldChar w:fldCharType="end"/>
            </w:r>
          </w:hyperlink>
        </w:p>
        <w:p w14:paraId="012FEC2E" w14:textId="4CA3AA2B"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19" w:history="1">
            <w:r w:rsidRPr="00B61420">
              <w:rPr>
                <w:rStyle w:val="Lienhypertexte"/>
                <w:noProof/>
              </w:rPr>
              <w:t>3.1. Contexte et justification</w:t>
            </w:r>
            <w:r>
              <w:rPr>
                <w:noProof/>
              </w:rPr>
              <w:tab/>
            </w:r>
            <w:r>
              <w:rPr>
                <w:noProof/>
              </w:rPr>
              <w:fldChar w:fldCharType="begin"/>
            </w:r>
            <w:r>
              <w:rPr>
                <w:noProof/>
              </w:rPr>
              <w:instrText xml:space="preserve"> PAGEREF _Toc227736919 \h </w:instrText>
            </w:r>
            <w:r>
              <w:rPr>
                <w:noProof/>
              </w:rPr>
            </w:r>
            <w:r>
              <w:rPr>
                <w:noProof/>
              </w:rPr>
              <w:fldChar w:fldCharType="separate"/>
            </w:r>
            <w:r>
              <w:rPr>
                <w:noProof/>
              </w:rPr>
              <w:t>9</w:t>
            </w:r>
            <w:r>
              <w:rPr>
                <w:noProof/>
              </w:rPr>
              <w:fldChar w:fldCharType="end"/>
            </w:r>
          </w:hyperlink>
        </w:p>
        <w:p w14:paraId="268440EF" w14:textId="28981343"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0" w:history="1">
            <w:r w:rsidRPr="00B61420">
              <w:rPr>
                <w:rStyle w:val="Lienhypertexte"/>
                <w:noProof/>
              </w:rPr>
              <w:t>3.2. Objectifs du lot</w:t>
            </w:r>
            <w:r>
              <w:rPr>
                <w:noProof/>
              </w:rPr>
              <w:tab/>
            </w:r>
            <w:r>
              <w:rPr>
                <w:noProof/>
              </w:rPr>
              <w:fldChar w:fldCharType="begin"/>
            </w:r>
            <w:r>
              <w:rPr>
                <w:noProof/>
              </w:rPr>
              <w:instrText xml:space="preserve"> PAGEREF _Toc227736920 \h </w:instrText>
            </w:r>
            <w:r>
              <w:rPr>
                <w:noProof/>
              </w:rPr>
            </w:r>
            <w:r>
              <w:rPr>
                <w:noProof/>
              </w:rPr>
              <w:fldChar w:fldCharType="separate"/>
            </w:r>
            <w:r>
              <w:rPr>
                <w:noProof/>
              </w:rPr>
              <w:t>9</w:t>
            </w:r>
            <w:r>
              <w:rPr>
                <w:noProof/>
              </w:rPr>
              <w:fldChar w:fldCharType="end"/>
            </w:r>
          </w:hyperlink>
        </w:p>
        <w:p w14:paraId="3ABBC859" w14:textId="26046AE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1" w:history="1">
            <w:r w:rsidRPr="00B61420">
              <w:rPr>
                <w:rStyle w:val="Lienhypertexte"/>
                <w:noProof/>
              </w:rPr>
              <w:t>3.3. Définition des travaux</w:t>
            </w:r>
            <w:r>
              <w:rPr>
                <w:noProof/>
              </w:rPr>
              <w:tab/>
            </w:r>
            <w:r>
              <w:rPr>
                <w:noProof/>
              </w:rPr>
              <w:fldChar w:fldCharType="begin"/>
            </w:r>
            <w:r>
              <w:rPr>
                <w:noProof/>
              </w:rPr>
              <w:instrText xml:space="preserve"> PAGEREF _Toc227736921 \h </w:instrText>
            </w:r>
            <w:r>
              <w:rPr>
                <w:noProof/>
              </w:rPr>
            </w:r>
            <w:r>
              <w:rPr>
                <w:noProof/>
              </w:rPr>
              <w:fldChar w:fldCharType="separate"/>
            </w:r>
            <w:r>
              <w:rPr>
                <w:noProof/>
              </w:rPr>
              <w:t>9</w:t>
            </w:r>
            <w:r>
              <w:rPr>
                <w:noProof/>
              </w:rPr>
              <w:fldChar w:fldCharType="end"/>
            </w:r>
          </w:hyperlink>
        </w:p>
        <w:p w14:paraId="5101D429" w14:textId="58306F8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2" w:history="1">
            <w:r w:rsidRPr="00B61420">
              <w:rPr>
                <w:rStyle w:val="Lienhypertexte"/>
                <w:noProof/>
              </w:rPr>
              <w:t>3.4. Spécifications techniques</w:t>
            </w:r>
            <w:r>
              <w:rPr>
                <w:noProof/>
              </w:rPr>
              <w:tab/>
            </w:r>
            <w:r>
              <w:rPr>
                <w:noProof/>
              </w:rPr>
              <w:fldChar w:fldCharType="begin"/>
            </w:r>
            <w:r>
              <w:rPr>
                <w:noProof/>
              </w:rPr>
              <w:instrText xml:space="preserve"> PAGEREF _Toc227736922 \h </w:instrText>
            </w:r>
            <w:r>
              <w:rPr>
                <w:noProof/>
              </w:rPr>
            </w:r>
            <w:r>
              <w:rPr>
                <w:noProof/>
              </w:rPr>
              <w:fldChar w:fldCharType="separate"/>
            </w:r>
            <w:r>
              <w:rPr>
                <w:noProof/>
              </w:rPr>
              <w:t>9</w:t>
            </w:r>
            <w:r>
              <w:rPr>
                <w:noProof/>
              </w:rPr>
              <w:fldChar w:fldCharType="end"/>
            </w:r>
          </w:hyperlink>
        </w:p>
        <w:p w14:paraId="4E35188A" w14:textId="564CA353"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3" w:history="1">
            <w:r w:rsidRPr="00B61420">
              <w:rPr>
                <w:rStyle w:val="Lienhypertexte"/>
                <w:noProof/>
              </w:rPr>
              <w:t>LOT 4 : Formation PMP (Project Management Professional)</w:t>
            </w:r>
            <w:r>
              <w:rPr>
                <w:noProof/>
              </w:rPr>
              <w:tab/>
            </w:r>
            <w:r>
              <w:rPr>
                <w:noProof/>
              </w:rPr>
              <w:fldChar w:fldCharType="begin"/>
            </w:r>
            <w:r>
              <w:rPr>
                <w:noProof/>
              </w:rPr>
              <w:instrText xml:space="preserve"> PAGEREF _Toc227736923 \h </w:instrText>
            </w:r>
            <w:r>
              <w:rPr>
                <w:noProof/>
              </w:rPr>
            </w:r>
            <w:r>
              <w:rPr>
                <w:noProof/>
              </w:rPr>
              <w:fldChar w:fldCharType="separate"/>
            </w:r>
            <w:r>
              <w:rPr>
                <w:noProof/>
              </w:rPr>
              <w:t>11</w:t>
            </w:r>
            <w:r>
              <w:rPr>
                <w:noProof/>
              </w:rPr>
              <w:fldChar w:fldCharType="end"/>
            </w:r>
          </w:hyperlink>
        </w:p>
        <w:p w14:paraId="65FB3255" w14:textId="278D6404"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4" w:history="1">
            <w:r w:rsidRPr="00B61420">
              <w:rPr>
                <w:rStyle w:val="Lienhypertexte"/>
                <w:noProof/>
              </w:rPr>
              <w:t>4.1. Contexte et justification</w:t>
            </w:r>
            <w:r>
              <w:rPr>
                <w:noProof/>
              </w:rPr>
              <w:tab/>
            </w:r>
            <w:r>
              <w:rPr>
                <w:noProof/>
              </w:rPr>
              <w:fldChar w:fldCharType="begin"/>
            </w:r>
            <w:r>
              <w:rPr>
                <w:noProof/>
              </w:rPr>
              <w:instrText xml:space="preserve"> PAGEREF _Toc227736924 \h </w:instrText>
            </w:r>
            <w:r>
              <w:rPr>
                <w:noProof/>
              </w:rPr>
            </w:r>
            <w:r>
              <w:rPr>
                <w:noProof/>
              </w:rPr>
              <w:fldChar w:fldCharType="separate"/>
            </w:r>
            <w:r>
              <w:rPr>
                <w:noProof/>
              </w:rPr>
              <w:t>11</w:t>
            </w:r>
            <w:r>
              <w:rPr>
                <w:noProof/>
              </w:rPr>
              <w:fldChar w:fldCharType="end"/>
            </w:r>
          </w:hyperlink>
        </w:p>
        <w:p w14:paraId="70C6DCAA" w14:textId="79352D5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5" w:history="1">
            <w:r w:rsidRPr="00B61420">
              <w:rPr>
                <w:rStyle w:val="Lienhypertexte"/>
                <w:noProof/>
              </w:rPr>
              <w:t>4.2. Objectifs du lot</w:t>
            </w:r>
            <w:r>
              <w:rPr>
                <w:noProof/>
              </w:rPr>
              <w:tab/>
            </w:r>
            <w:r>
              <w:rPr>
                <w:noProof/>
              </w:rPr>
              <w:fldChar w:fldCharType="begin"/>
            </w:r>
            <w:r>
              <w:rPr>
                <w:noProof/>
              </w:rPr>
              <w:instrText xml:space="preserve"> PAGEREF _Toc227736925 \h </w:instrText>
            </w:r>
            <w:r>
              <w:rPr>
                <w:noProof/>
              </w:rPr>
            </w:r>
            <w:r>
              <w:rPr>
                <w:noProof/>
              </w:rPr>
              <w:fldChar w:fldCharType="separate"/>
            </w:r>
            <w:r>
              <w:rPr>
                <w:noProof/>
              </w:rPr>
              <w:t>11</w:t>
            </w:r>
            <w:r>
              <w:rPr>
                <w:noProof/>
              </w:rPr>
              <w:fldChar w:fldCharType="end"/>
            </w:r>
          </w:hyperlink>
        </w:p>
        <w:p w14:paraId="180C5448" w14:textId="2947B9BA"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6" w:history="1">
            <w:r w:rsidRPr="00B61420">
              <w:rPr>
                <w:rStyle w:val="Lienhypertexte"/>
                <w:noProof/>
              </w:rPr>
              <w:t>4.3. Définition des travaux</w:t>
            </w:r>
            <w:r>
              <w:rPr>
                <w:noProof/>
              </w:rPr>
              <w:tab/>
            </w:r>
            <w:r>
              <w:rPr>
                <w:noProof/>
              </w:rPr>
              <w:fldChar w:fldCharType="begin"/>
            </w:r>
            <w:r>
              <w:rPr>
                <w:noProof/>
              </w:rPr>
              <w:instrText xml:space="preserve"> PAGEREF _Toc227736926 \h </w:instrText>
            </w:r>
            <w:r>
              <w:rPr>
                <w:noProof/>
              </w:rPr>
            </w:r>
            <w:r>
              <w:rPr>
                <w:noProof/>
              </w:rPr>
              <w:fldChar w:fldCharType="separate"/>
            </w:r>
            <w:r>
              <w:rPr>
                <w:noProof/>
              </w:rPr>
              <w:t>11</w:t>
            </w:r>
            <w:r>
              <w:rPr>
                <w:noProof/>
              </w:rPr>
              <w:fldChar w:fldCharType="end"/>
            </w:r>
          </w:hyperlink>
        </w:p>
        <w:p w14:paraId="2C09FEA3" w14:textId="65DEBF5C"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7" w:history="1">
            <w:r w:rsidRPr="00B61420">
              <w:rPr>
                <w:rStyle w:val="Lienhypertexte"/>
                <w:noProof/>
              </w:rPr>
              <w:t>4.4. Spécifications techniques</w:t>
            </w:r>
            <w:r>
              <w:rPr>
                <w:noProof/>
              </w:rPr>
              <w:tab/>
            </w:r>
            <w:r>
              <w:rPr>
                <w:noProof/>
              </w:rPr>
              <w:fldChar w:fldCharType="begin"/>
            </w:r>
            <w:r>
              <w:rPr>
                <w:noProof/>
              </w:rPr>
              <w:instrText xml:space="preserve"> PAGEREF _Toc227736927 \h </w:instrText>
            </w:r>
            <w:r>
              <w:rPr>
                <w:noProof/>
              </w:rPr>
            </w:r>
            <w:r>
              <w:rPr>
                <w:noProof/>
              </w:rPr>
              <w:fldChar w:fldCharType="separate"/>
            </w:r>
            <w:r>
              <w:rPr>
                <w:noProof/>
              </w:rPr>
              <w:t>11</w:t>
            </w:r>
            <w:r>
              <w:rPr>
                <w:noProof/>
              </w:rPr>
              <w:fldChar w:fldCharType="end"/>
            </w:r>
          </w:hyperlink>
        </w:p>
        <w:p w14:paraId="167A7AB3" w14:textId="5CDC3076"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8" w:history="1">
            <w:r w:rsidRPr="00B61420">
              <w:rPr>
                <w:rStyle w:val="Lienhypertexte"/>
                <w:noProof/>
              </w:rPr>
              <w:t>LOT 5 : Formation CEH v13 (Certified Ethical Hacker)</w:t>
            </w:r>
            <w:r>
              <w:rPr>
                <w:noProof/>
              </w:rPr>
              <w:tab/>
            </w:r>
            <w:r>
              <w:rPr>
                <w:noProof/>
              </w:rPr>
              <w:fldChar w:fldCharType="begin"/>
            </w:r>
            <w:r>
              <w:rPr>
                <w:noProof/>
              </w:rPr>
              <w:instrText xml:space="preserve"> PAGEREF _Toc227736928 \h </w:instrText>
            </w:r>
            <w:r>
              <w:rPr>
                <w:noProof/>
              </w:rPr>
            </w:r>
            <w:r>
              <w:rPr>
                <w:noProof/>
              </w:rPr>
              <w:fldChar w:fldCharType="separate"/>
            </w:r>
            <w:r>
              <w:rPr>
                <w:noProof/>
              </w:rPr>
              <w:t>13</w:t>
            </w:r>
            <w:r>
              <w:rPr>
                <w:noProof/>
              </w:rPr>
              <w:fldChar w:fldCharType="end"/>
            </w:r>
          </w:hyperlink>
        </w:p>
        <w:p w14:paraId="73C1E371" w14:textId="46D21D24"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29" w:history="1">
            <w:r w:rsidRPr="00B61420">
              <w:rPr>
                <w:rStyle w:val="Lienhypertexte"/>
                <w:noProof/>
              </w:rPr>
              <w:t>5.1. Contexte et justification</w:t>
            </w:r>
            <w:r>
              <w:rPr>
                <w:noProof/>
              </w:rPr>
              <w:tab/>
            </w:r>
            <w:r>
              <w:rPr>
                <w:noProof/>
              </w:rPr>
              <w:fldChar w:fldCharType="begin"/>
            </w:r>
            <w:r>
              <w:rPr>
                <w:noProof/>
              </w:rPr>
              <w:instrText xml:space="preserve"> PAGEREF _Toc227736929 \h </w:instrText>
            </w:r>
            <w:r>
              <w:rPr>
                <w:noProof/>
              </w:rPr>
            </w:r>
            <w:r>
              <w:rPr>
                <w:noProof/>
              </w:rPr>
              <w:fldChar w:fldCharType="separate"/>
            </w:r>
            <w:r>
              <w:rPr>
                <w:noProof/>
              </w:rPr>
              <w:t>13</w:t>
            </w:r>
            <w:r>
              <w:rPr>
                <w:noProof/>
              </w:rPr>
              <w:fldChar w:fldCharType="end"/>
            </w:r>
          </w:hyperlink>
        </w:p>
        <w:p w14:paraId="703F4BA7" w14:textId="02274267"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0" w:history="1">
            <w:r w:rsidRPr="00B61420">
              <w:rPr>
                <w:rStyle w:val="Lienhypertexte"/>
                <w:noProof/>
              </w:rPr>
              <w:t>5.2. Objectifs du lot</w:t>
            </w:r>
            <w:r>
              <w:rPr>
                <w:noProof/>
              </w:rPr>
              <w:tab/>
            </w:r>
            <w:r>
              <w:rPr>
                <w:noProof/>
              </w:rPr>
              <w:fldChar w:fldCharType="begin"/>
            </w:r>
            <w:r>
              <w:rPr>
                <w:noProof/>
              </w:rPr>
              <w:instrText xml:space="preserve"> PAGEREF _Toc227736930 \h </w:instrText>
            </w:r>
            <w:r>
              <w:rPr>
                <w:noProof/>
              </w:rPr>
            </w:r>
            <w:r>
              <w:rPr>
                <w:noProof/>
              </w:rPr>
              <w:fldChar w:fldCharType="separate"/>
            </w:r>
            <w:r>
              <w:rPr>
                <w:noProof/>
              </w:rPr>
              <w:t>13</w:t>
            </w:r>
            <w:r>
              <w:rPr>
                <w:noProof/>
              </w:rPr>
              <w:fldChar w:fldCharType="end"/>
            </w:r>
          </w:hyperlink>
        </w:p>
        <w:p w14:paraId="47462B32" w14:textId="0B7EF4B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1" w:history="1">
            <w:r w:rsidRPr="00B61420">
              <w:rPr>
                <w:rStyle w:val="Lienhypertexte"/>
                <w:noProof/>
              </w:rPr>
              <w:t>5.3. Définition des travaux</w:t>
            </w:r>
            <w:r>
              <w:rPr>
                <w:noProof/>
              </w:rPr>
              <w:tab/>
            </w:r>
            <w:r>
              <w:rPr>
                <w:noProof/>
              </w:rPr>
              <w:fldChar w:fldCharType="begin"/>
            </w:r>
            <w:r>
              <w:rPr>
                <w:noProof/>
              </w:rPr>
              <w:instrText xml:space="preserve"> PAGEREF _Toc227736931 \h </w:instrText>
            </w:r>
            <w:r>
              <w:rPr>
                <w:noProof/>
              </w:rPr>
            </w:r>
            <w:r>
              <w:rPr>
                <w:noProof/>
              </w:rPr>
              <w:fldChar w:fldCharType="separate"/>
            </w:r>
            <w:r>
              <w:rPr>
                <w:noProof/>
              </w:rPr>
              <w:t>13</w:t>
            </w:r>
            <w:r>
              <w:rPr>
                <w:noProof/>
              </w:rPr>
              <w:fldChar w:fldCharType="end"/>
            </w:r>
          </w:hyperlink>
        </w:p>
        <w:p w14:paraId="69F3FBCC" w14:textId="145F134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2" w:history="1">
            <w:r w:rsidRPr="00B61420">
              <w:rPr>
                <w:rStyle w:val="Lienhypertexte"/>
                <w:noProof/>
              </w:rPr>
              <w:t>5.4. Spécifications techniques</w:t>
            </w:r>
            <w:r>
              <w:rPr>
                <w:noProof/>
              </w:rPr>
              <w:tab/>
            </w:r>
            <w:r>
              <w:rPr>
                <w:noProof/>
              </w:rPr>
              <w:fldChar w:fldCharType="begin"/>
            </w:r>
            <w:r>
              <w:rPr>
                <w:noProof/>
              </w:rPr>
              <w:instrText xml:space="preserve"> PAGEREF _Toc227736932 \h </w:instrText>
            </w:r>
            <w:r>
              <w:rPr>
                <w:noProof/>
              </w:rPr>
            </w:r>
            <w:r>
              <w:rPr>
                <w:noProof/>
              </w:rPr>
              <w:fldChar w:fldCharType="separate"/>
            </w:r>
            <w:r>
              <w:rPr>
                <w:noProof/>
              </w:rPr>
              <w:t>13</w:t>
            </w:r>
            <w:r>
              <w:rPr>
                <w:noProof/>
              </w:rPr>
              <w:fldChar w:fldCharType="end"/>
            </w:r>
          </w:hyperlink>
        </w:p>
        <w:p w14:paraId="500FAAC2" w14:textId="1CAE4C78"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3" w:history="1">
            <w:r w:rsidRPr="00B61420">
              <w:rPr>
                <w:rStyle w:val="Lienhypertexte"/>
                <w:noProof/>
              </w:rPr>
              <w:t>LOT 6 : Formation MEHARI Risk Manager</w:t>
            </w:r>
            <w:r>
              <w:rPr>
                <w:noProof/>
              </w:rPr>
              <w:tab/>
            </w:r>
            <w:r>
              <w:rPr>
                <w:noProof/>
              </w:rPr>
              <w:fldChar w:fldCharType="begin"/>
            </w:r>
            <w:r>
              <w:rPr>
                <w:noProof/>
              </w:rPr>
              <w:instrText xml:space="preserve"> PAGEREF _Toc227736933 \h </w:instrText>
            </w:r>
            <w:r>
              <w:rPr>
                <w:noProof/>
              </w:rPr>
            </w:r>
            <w:r>
              <w:rPr>
                <w:noProof/>
              </w:rPr>
              <w:fldChar w:fldCharType="separate"/>
            </w:r>
            <w:r>
              <w:rPr>
                <w:noProof/>
              </w:rPr>
              <w:t>14</w:t>
            </w:r>
            <w:r>
              <w:rPr>
                <w:noProof/>
              </w:rPr>
              <w:fldChar w:fldCharType="end"/>
            </w:r>
          </w:hyperlink>
        </w:p>
        <w:p w14:paraId="0416B2AA" w14:textId="6EC50DE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4" w:history="1">
            <w:r w:rsidRPr="00B61420">
              <w:rPr>
                <w:rStyle w:val="Lienhypertexte"/>
                <w:noProof/>
              </w:rPr>
              <w:t>6.1. Contexte et justification</w:t>
            </w:r>
            <w:r>
              <w:rPr>
                <w:noProof/>
              </w:rPr>
              <w:tab/>
            </w:r>
            <w:r>
              <w:rPr>
                <w:noProof/>
              </w:rPr>
              <w:fldChar w:fldCharType="begin"/>
            </w:r>
            <w:r>
              <w:rPr>
                <w:noProof/>
              </w:rPr>
              <w:instrText xml:space="preserve"> PAGEREF _Toc227736934 \h </w:instrText>
            </w:r>
            <w:r>
              <w:rPr>
                <w:noProof/>
              </w:rPr>
            </w:r>
            <w:r>
              <w:rPr>
                <w:noProof/>
              </w:rPr>
              <w:fldChar w:fldCharType="separate"/>
            </w:r>
            <w:r>
              <w:rPr>
                <w:noProof/>
              </w:rPr>
              <w:t>14</w:t>
            </w:r>
            <w:r>
              <w:rPr>
                <w:noProof/>
              </w:rPr>
              <w:fldChar w:fldCharType="end"/>
            </w:r>
          </w:hyperlink>
        </w:p>
        <w:p w14:paraId="75D0E398" w14:textId="5413D691"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5" w:history="1">
            <w:r w:rsidRPr="00B61420">
              <w:rPr>
                <w:rStyle w:val="Lienhypertexte"/>
                <w:noProof/>
              </w:rPr>
              <w:t>6.2. Objectifs du lot</w:t>
            </w:r>
            <w:r>
              <w:rPr>
                <w:noProof/>
              </w:rPr>
              <w:tab/>
            </w:r>
            <w:r>
              <w:rPr>
                <w:noProof/>
              </w:rPr>
              <w:fldChar w:fldCharType="begin"/>
            </w:r>
            <w:r>
              <w:rPr>
                <w:noProof/>
              </w:rPr>
              <w:instrText xml:space="preserve"> PAGEREF _Toc227736935 \h </w:instrText>
            </w:r>
            <w:r>
              <w:rPr>
                <w:noProof/>
              </w:rPr>
            </w:r>
            <w:r>
              <w:rPr>
                <w:noProof/>
              </w:rPr>
              <w:fldChar w:fldCharType="separate"/>
            </w:r>
            <w:r>
              <w:rPr>
                <w:noProof/>
              </w:rPr>
              <w:t>14</w:t>
            </w:r>
            <w:r>
              <w:rPr>
                <w:noProof/>
              </w:rPr>
              <w:fldChar w:fldCharType="end"/>
            </w:r>
          </w:hyperlink>
        </w:p>
        <w:p w14:paraId="69B83521" w14:textId="6B30C403"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6" w:history="1">
            <w:r w:rsidRPr="00B61420">
              <w:rPr>
                <w:rStyle w:val="Lienhypertexte"/>
                <w:noProof/>
              </w:rPr>
              <w:t>6.3. Définition des travaux</w:t>
            </w:r>
            <w:r>
              <w:rPr>
                <w:noProof/>
              </w:rPr>
              <w:tab/>
            </w:r>
            <w:r>
              <w:rPr>
                <w:noProof/>
              </w:rPr>
              <w:fldChar w:fldCharType="begin"/>
            </w:r>
            <w:r>
              <w:rPr>
                <w:noProof/>
              </w:rPr>
              <w:instrText xml:space="preserve"> PAGEREF _Toc227736936 \h </w:instrText>
            </w:r>
            <w:r>
              <w:rPr>
                <w:noProof/>
              </w:rPr>
            </w:r>
            <w:r>
              <w:rPr>
                <w:noProof/>
              </w:rPr>
              <w:fldChar w:fldCharType="separate"/>
            </w:r>
            <w:r>
              <w:rPr>
                <w:noProof/>
              </w:rPr>
              <w:t>14</w:t>
            </w:r>
            <w:r>
              <w:rPr>
                <w:noProof/>
              </w:rPr>
              <w:fldChar w:fldCharType="end"/>
            </w:r>
          </w:hyperlink>
        </w:p>
        <w:p w14:paraId="5ADB1704" w14:textId="501407B8"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7" w:history="1">
            <w:r w:rsidRPr="00B61420">
              <w:rPr>
                <w:rStyle w:val="Lienhypertexte"/>
                <w:noProof/>
              </w:rPr>
              <w:t>6.4. Spécifications techniques</w:t>
            </w:r>
            <w:r>
              <w:rPr>
                <w:noProof/>
              </w:rPr>
              <w:tab/>
            </w:r>
            <w:r>
              <w:rPr>
                <w:noProof/>
              </w:rPr>
              <w:fldChar w:fldCharType="begin"/>
            </w:r>
            <w:r>
              <w:rPr>
                <w:noProof/>
              </w:rPr>
              <w:instrText xml:space="preserve"> PAGEREF _Toc227736937 \h </w:instrText>
            </w:r>
            <w:r>
              <w:rPr>
                <w:noProof/>
              </w:rPr>
            </w:r>
            <w:r>
              <w:rPr>
                <w:noProof/>
              </w:rPr>
              <w:fldChar w:fldCharType="separate"/>
            </w:r>
            <w:r>
              <w:rPr>
                <w:noProof/>
              </w:rPr>
              <w:t>14</w:t>
            </w:r>
            <w:r>
              <w:rPr>
                <w:noProof/>
              </w:rPr>
              <w:fldChar w:fldCharType="end"/>
            </w:r>
          </w:hyperlink>
        </w:p>
        <w:p w14:paraId="220EE11A" w14:textId="5C525445"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8" w:history="1">
            <w:r w:rsidRPr="00B61420">
              <w:rPr>
                <w:rStyle w:val="Lienhypertexte"/>
                <w:noProof/>
              </w:rPr>
              <w:t>LOT 7 : Formation Huawei HCIA-Datacom</w:t>
            </w:r>
            <w:r>
              <w:rPr>
                <w:noProof/>
              </w:rPr>
              <w:tab/>
            </w:r>
            <w:r>
              <w:rPr>
                <w:noProof/>
              </w:rPr>
              <w:fldChar w:fldCharType="begin"/>
            </w:r>
            <w:r>
              <w:rPr>
                <w:noProof/>
              </w:rPr>
              <w:instrText xml:space="preserve"> PAGEREF _Toc227736938 \h </w:instrText>
            </w:r>
            <w:r>
              <w:rPr>
                <w:noProof/>
              </w:rPr>
            </w:r>
            <w:r>
              <w:rPr>
                <w:noProof/>
              </w:rPr>
              <w:fldChar w:fldCharType="separate"/>
            </w:r>
            <w:r>
              <w:rPr>
                <w:noProof/>
              </w:rPr>
              <w:t>16</w:t>
            </w:r>
            <w:r>
              <w:rPr>
                <w:noProof/>
              </w:rPr>
              <w:fldChar w:fldCharType="end"/>
            </w:r>
          </w:hyperlink>
        </w:p>
        <w:p w14:paraId="2FDE6475" w14:textId="54B75634"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39" w:history="1">
            <w:r w:rsidRPr="00B61420">
              <w:rPr>
                <w:rStyle w:val="Lienhypertexte"/>
                <w:noProof/>
              </w:rPr>
              <w:t>7.1. Contexte et justification</w:t>
            </w:r>
            <w:r>
              <w:rPr>
                <w:noProof/>
              </w:rPr>
              <w:tab/>
            </w:r>
            <w:r>
              <w:rPr>
                <w:noProof/>
              </w:rPr>
              <w:fldChar w:fldCharType="begin"/>
            </w:r>
            <w:r>
              <w:rPr>
                <w:noProof/>
              </w:rPr>
              <w:instrText xml:space="preserve"> PAGEREF _Toc227736939 \h </w:instrText>
            </w:r>
            <w:r>
              <w:rPr>
                <w:noProof/>
              </w:rPr>
            </w:r>
            <w:r>
              <w:rPr>
                <w:noProof/>
              </w:rPr>
              <w:fldChar w:fldCharType="separate"/>
            </w:r>
            <w:r>
              <w:rPr>
                <w:noProof/>
              </w:rPr>
              <w:t>16</w:t>
            </w:r>
            <w:r>
              <w:rPr>
                <w:noProof/>
              </w:rPr>
              <w:fldChar w:fldCharType="end"/>
            </w:r>
          </w:hyperlink>
        </w:p>
        <w:p w14:paraId="01C0B752" w14:textId="09B61A04"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0" w:history="1">
            <w:r w:rsidRPr="00B61420">
              <w:rPr>
                <w:rStyle w:val="Lienhypertexte"/>
                <w:noProof/>
              </w:rPr>
              <w:t>7.2. Objectifs du lot</w:t>
            </w:r>
            <w:r>
              <w:rPr>
                <w:noProof/>
              </w:rPr>
              <w:tab/>
            </w:r>
            <w:r>
              <w:rPr>
                <w:noProof/>
              </w:rPr>
              <w:fldChar w:fldCharType="begin"/>
            </w:r>
            <w:r>
              <w:rPr>
                <w:noProof/>
              </w:rPr>
              <w:instrText xml:space="preserve"> PAGEREF _Toc227736940 \h </w:instrText>
            </w:r>
            <w:r>
              <w:rPr>
                <w:noProof/>
              </w:rPr>
            </w:r>
            <w:r>
              <w:rPr>
                <w:noProof/>
              </w:rPr>
              <w:fldChar w:fldCharType="separate"/>
            </w:r>
            <w:r>
              <w:rPr>
                <w:noProof/>
              </w:rPr>
              <w:t>16</w:t>
            </w:r>
            <w:r>
              <w:rPr>
                <w:noProof/>
              </w:rPr>
              <w:fldChar w:fldCharType="end"/>
            </w:r>
          </w:hyperlink>
        </w:p>
        <w:p w14:paraId="59457DF5" w14:textId="5F4E6412"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1" w:history="1">
            <w:r w:rsidRPr="00B61420">
              <w:rPr>
                <w:rStyle w:val="Lienhypertexte"/>
                <w:noProof/>
              </w:rPr>
              <w:t>7.3. Définition des travaux</w:t>
            </w:r>
            <w:r>
              <w:rPr>
                <w:noProof/>
              </w:rPr>
              <w:tab/>
            </w:r>
            <w:r>
              <w:rPr>
                <w:noProof/>
              </w:rPr>
              <w:fldChar w:fldCharType="begin"/>
            </w:r>
            <w:r>
              <w:rPr>
                <w:noProof/>
              </w:rPr>
              <w:instrText xml:space="preserve"> PAGEREF _Toc227736941 \h </w:instrText>
            </w:r>
            <w:r>
              <w:rPr>
                <w:noProof/>
              </w:rPr>
            </w:r>
            <w:r>
              <w:rPr>
                <w:noProof/>
              </w:rPr>
              <w:fldChar w:fldCharType="separate"/>
            </w:r>
            <w:r>
              <w:rPr>
                <w:noProof/>
              </w:rPr>
              <w:t>16</w:t>
            </w:r>
            <w:r>
              <w:rPr>
                <w:noProof/>
              </w:rPr>
              <w:fldChar w:fldCharType="end"/>
            </w:r>
          </w:hyperlink>
        </w:p>
        <w:p w14:paraId="59FE108C" w14:textId="125C3336"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2" w:history="1">
            <w:r w:rsidRPr="00B61420">
              <w:rPr>
                <w:rStyle w:val="Lienhypertexte"/>
                <w:noProof/>
              </w:rPr>
              <w:t>7.4. Spécifications techniques</w:t>
            </w:r>
            <w:r>
              <w:rPr>
                <w:noProof/>
              </w:rPr>
              <w:tab/>
            </w:r>
            <w:r>
              <w:rPr>
                <w:noProof/>
              </w:rPr>
              <w:fldChar w:fldCharType="begin"/>
            </w:r>
            <w:r>
              <w:rPr>
                <w:noProof/>
              </w:rPr>
              <w:instrText xml:space="preserve"> PAGEREF _Toc227736942 \h </w:instrText>
            </w:r>
            <w:r>
              <w:rPr>
                <w:noProof/>
              </w:rPr>
            </w:r>
            <w:r>
              <w:rPr>
                <w:noProof/>
              </w:rPr>
              <w:fldChar w:fldCharType="separate"/>
            </w:r>
            <w:r>
              <w:rPr>
                <w:noProof/>
              </w:rPr>
              <w:t>16</w:t>
            </w:r>
            <w:r>
              <w:rPr>
                <w:noProof/>
              </w:rPr>
              <w:fldChar w:fldCharType="end"/>
            </w:r>
          </w:hyperlink>
        </w:p>
        <w:p w14:paraId="02CDB4F6" w14:textId="10D993BF"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3" w:history="1">
            <w:r w:rsidRPr="00B61420">
              <w:rPr>
                <w:rStyle w:val="Lienhypertexte"/>
                <w:noProof/>
              </w:rPr>
              <w:t>LOT 8 : Formation Huawei HCIA-Storage</w:t>
            </w:r>
            <w:r>
              <w:rPr>
                <w:noProof/>
              </w:rPr>
              <w:tab/>
            </w:r>
            <w:r>
              <w:rPr>
                <w:noProof/>
              </w:rPr>
              <w:fldChar w:fldCharType="begin"/>
            </w:r>
            <w:r>
              <w:rPr>
                <w:noProof/>
              </w:rPr>
              <w:instrText xml:space="preserve"> PAGEREF _Toc227736943 \h </w:instrText>
            </w:r>
            <w:r>
              <w:rPr>
                <w:noProof/>
              </w:rPr>
            </w:r>
            <w:r>
              <w:rPr>
                <w:noProof/>
              </w:rPr>
              <w:fldChar w:fldCharType="separate"/>
            </w:r>
            <w:r>
              <w:rPr>
                <w:noProof/>
              </w:rPr>
              <w:t>18</w:t>
            </w:r>
            <w:r>
              <w:rPr>
                <w:noProof/>
              </w:rPr>
              <w:fldChar w:fldCharType="end"/>
            </w:r>
          </w:hyperlink>
        </w:p>
        <w:p w14:paraId="28A3FCA3" w14:textId="275306F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4" w:history="1">
            <w:r w:rsidRPr="00B61420">
              <w:rPr>
                <w:rStyle w:val="Lienhypertexte"/>
                <w:noProof/>
              </w:rPr>
              <w:t>8.1. Contexte et justification</w:t>
            </w:r>
            <w:r>
              <w:rPr>
                <w:noProof/>
              </w:rPr>
              <w:tab/>
            </w:r>
            <w:r>
              <w:rPr>
                <w:noProof/>
              </w:rPr>
              <w:fldChar w:fldCharType="begin"/>
            </w:r>
            <w:r>
              <w:rPr>
                <w:noProof/>
              </w:rPr>
              <w:instrText xml:space="preserve"> PAGEREF _Toc227736944 \h </w:instrText>
            </w:r>
            <w:r>
              <w:rPr>
                <w:noProof/>
              </w:rPr>
            </w:r>
            <w:r>
              <w:rPr>
                <w:noProof/>
              </w:rPr>
              <w:fldChar w:fldCharType="separate"/>
            </w:r>
            <w:r>
              <w:rPr>
                <w:noProof/>
              </w:rPr>
              <w:t>18</w:t>
            </w:r>
            <w:r>
              <w:rPr>
                <w:noProof/>
              </w:rPr>
              <w:fldChar w:fldCharType="end"/>
            </w:r>
          </w:hyperlink>
        </w:p>
        <w:p w14:paraId="361FC6B2" w14:textId="77CE33F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5" w:history="1">
            <w:r w:rsidRPr="00B61420">
              <w:rPr>
                <w:rStyle w:val="Lienhypertexte"/>
                <w:noProof/>
              </w:rPr>
              <w:t>8.2. Objectifs du lot</w:t>
            </w:r>
            <w:r>
              <w:rPr>
                <w:noProof/>
              </w:rPr>
              <w:tab/>
            </w:r>
            <w:r>
              <w:rPr>
                <w:noProof/>
              </w:rPr>
              <w:fldChar w:fldCharType="begin"/>
            </w:r>
            <w:r>
              <w:rPr>
                <w:noProof/>
              </w:rPr>
              <w:instrText xml:space="preserve"> PAGEREF _Toc227736945 \h </w:instrText>
            </w:r>
            <w:r>
              <w:rPr>
                <w:noProof/>
              </w:rPr>
            </w:r>
            <w:r>
              <w:rPr>
                <w:noProof/>
              </w:rPr>
              <w:fldChar w:fldCharType="separate"/>
            </w:r>
            <w:r>
              <w:rPr>
                <w:noProof/>
              </w:rPr>
              <w:t>18</w:t>
            </w:r>
            <w:r>
              <w:rPr>
                <w:noProof/>
              </w:rPr>
              <w:fldChar w:fldCharType="end"/>
            </w:r>
          </w:hyperlink>
        </w:p>
        <w:p w14:paraId="7C165E19" w14:textId="3309F4F9"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6" w:history="1">
            <w:r w:rsidRPr="00B61420">
              <w:rPr>
                <w:rStyle w:val="Lienhypertexte"/>
                <w:noProof/>
              </w:rPr>
              <w:t>8.3. Définition des travaux</w:t>
            </w:r>
            <w:r>
              <w:rPr>
                <w:noProof/>
              </w:rPr>
              <w:tab/>
            </w:r>
            <w:r>
              <w:rPr>
                <w:noProof/>
              </w:rPr>
              <w:fldChar w:fldCharType="begin"/>
            </w:r>
            <w:r>
              <w:rPr>
                <w:noProof/>
              </w:rPr>
              <w:instrText xml:space="preserve"> PAGEREF _Toc227736946 \h </w:instrText>
            </w:r>
            <w:r>
              <w:rPr>
                <w:noProof/>
              </w:rPr>
            </w:r>
            <w:r>
              <w:rPr>
                <w:noProof/>
              </w:rPr>
              <w:fldChar w:fldCharType="separate"/>
            </w:r>
            <w:r>
              <w:rPr>
                <w:noProof/>
              </w:rPr>
              <w:t>18</w:t>
            </w:r>
            <w:r>
              <w:rPr>
                <w:noProof/>
              </w:rPr>
              <w:fldChar w:fldCharType="end"/>
            </w:r>
          </w:hyperlink>
        </w:p>
        <w:p w14:paraId="0124D135" w14:textId="64BEBF9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7" w:history="1">
            <w:r w:rsidRPr="00B61420">
              <w:rPr>
                <w:rStyle w:val="Lienhypertexte"/>
                <w:noProof/>
              </w:rPr>
              <w:t>8.4. Spécifications techniques</w:t>
            </w:r>
            <w:r>
              <w:rPr>
                <w:noProof/>
              </w:rPr>
              <w:tab/>
            </w:r>
            <w:r>
              <w:rPr>
                <w:noProof/>
              </w:rPr>
              <w:fldChar w:fldCharType="begin"/>
            </w:r>
            <w:r>
              <w:rPr>
                <w:noProof/>
              </w:rPr>
              <w:instrText xml:space="preserve"> PAGEREF _Toc227736947 \h </w:instrText>
            </w:r>
            <w:r>
              <w:rPr>
                <w:noProof/>
              </w:rPr>
            </w:r>
            <w:r>
              <w:rPr>
                <w:noProof/>
              </w:rPr>
              <w:fldChar w:fldCharType="separate"/>
            </w:r>
            <w:r>
              <w:rPr>
                <w:noProof/>
              </w:rPr>
              <w:t>18</w:t>
            </w:r>
            <w:r>
              <w:rPr>
                <w:noProof/>
              </w:rPr>
              <w:fldChar w:fldCharType="end"/>
            </w:r>
          </w:hyperlink>
        </w:p>
        <w:p w14:paraId="7C7A95EC" w14:textId="22567341"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8" w:history="1">
            <w:r w:rsidRPr="00B61420">
              <w:rPr>
                <w:rStyle w:val="Lienhypertexte"/>
                <w:noProof/>
              </w:rPr>
              <w:t>LOT 9 : Formation Oracle OCA (Oracle Certified Associate – Database Administration)</w:t>
            </w:r>
            <w:r>
              <w:rPr>
                <w:noProof/>
              </w:rPr>
              <w:tab/>
            </w:r>
            <w:r>
              <w:rPr>
                <w:noProof/>
              </w:rPr>
              <w:fldChar w:fldCharType="begin"/>
            </w:r>
            <w:r>
              <w:rPr>
                <w:noProof/>
              </w:rPr>
              <w:instrText xml:space="preserve"> PAGEREF _Toc227736948 \h </w:instrText>
            </w:r>
            <w:r>
              <w:rPr>
                <w:noProof/>
              </w:rPr>
            </w:r>
            <w:r>
              <w:rPr>
                <w:noProof/>
              </w:rPr>
              <w:fldChar w:fldCharType="separate"/>
            </w:r>
            <w:r>
              <w:rPr>
                <w:noProof/>
              </w:rPr>
              <w:t>20</w:t>
            </w:r>
            <w:r>
              <w:rPr>
                <w:noProof/>
              </w:rPr>
              <w:fldChar w:fldCharType="end"/>
            </w:r>
          </w:hyperlink>
        </w:p>
        <w:p w14:paraId="05D67D5E" w14:textId="5D06B90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49" w:history="1">
            <w:r w:rsidRPr="00B61420">
              <w:rPr>
                <w:rStyle w:val="Lienhypertexte"/>
                <w:noProof/>
              </w:rPr>
              <w:t>9.1. Contexte et justification</w:t>
            </w:r>
            <w:r>
              <w:rPr>
                <w:noProof/>
              </w:rPr>
              <w:tab/>
            </w:r>
            <w:r>
              <w:rPr>
                <w:noProof/>
              </w:rPr>
              <w:fldChar w:fldCharType="begin"/>
            </w:r>
            <w:r>
              <w:rPr>
                <w:noProof/>
              </w:rPr>
              <w:instrText xml:space="preserve"> PAGEREF _Toc227736949 \h </w:instrText>
            </w:r>
            <w:r>
              <w:rPr>
                <w:noProof/>
              </w:rPr>
            </w:r>
            <w:r>
              <w:rPr>
                <w:noProof/>
              </w:rPr>
              <w:fldChar w:fldCharType="separate"/>
            </w:r>
            <w:r>
              <w:rPr>
                <w:noProof/>
              </w:rPr>
              <w:t>20</w:t>
            </w:r>
            <w:r>
              <w:rPr>
                <w:noProof/>
              </w:rPr>
              <w:fldChar w:fldCharType="end"/>
            </w:r>
          </w:hyperlink>
        </w:p>
        <w:p w14:paraId="10943D1E" w14:textId="2CA080B7"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0" w:history="1">
            <w:r w:rsidRPr="00B61420">
              <w:rPr>
                <w:rStyle w:val="Lienhypertexte"/>
                <w:noProof/>
              </w:rPr>
              <w:t>9.2. Objectifs du lot</w:t>
            </w:r>
            <w:r>
              <w:rPr>
                <w:noProof/>
              </w:rPr>
              <w:tab/>
            </w:r>
            <w:r>
              <w:rPr>
                <w:noProof/>
              </w:rPr>
              <w:fldChar w:fldCharType="begin"/>
            </w:r>
            <w:r>
              <w:rPr>
                <w:noProof/>
              </w:rPr>
              <w:instrText xml:space="preserve"> PAGEREF _Toc227736950 \h </w:instrText>
            </w:r>
            <w:r>
              <w:rPr>
                <w:noProof/>
              </w:rPr>
            </w:r>
            <w:r>
              <w:rPr>
                <w:noProof/>
              </w:rPr>
              <w:fldChar w:fldCharType="separate"/>
            </w:r>
            <w:r>
              <w:rPr>
                <w:noProof/>
              </w:rPr>
              <w:t>20</w:t>
            </w:r>
            <w:r>
              <w:rPr>
                <w:noProof/>
              </w:rPr>
              <w:fldChar w:fldCharType="end"/>
            </w:r>
          </w:hyperlink>
        </w:p>
        <w:p w14:paraId="21F963B2" w14:textId="78E2C92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1" w:history="1">
            <w:r w:rsidRPr="00B61420">
              <w:rPr>
                <w:rStyle w:val="Lienhypertexte"/>
                <w:noProof/>
              </w:rPr>
              <w:t>9.3. Définition des travaux</w:t>
            </w:r>
            <w:r>
              <w:rPr>
                <w:noProof/>
              </w:rPr>
              <w:tab/>
            </w:r>
            <w:r>
              <w:rPr>
                <w:noProof/>
              </w:rPr>
              <w:fldChar w:fldCharType="begin"/>
            </w:r>
            <w:r>
              <w:rPr>
                <w:noProof/>
              </w:rPr>
              <w:instrText xml:space="preserve"> PAGEREF _Toc227736951 \h </w:instrText>
            </w:r>
            <w:r>
              <w:rPr>
                <w:noProof/>
              </w:rPr>
            </w:r>
            <w:r>
              <w:rPr>
                <w:noProof/>
              </w:rPr>
              <w:fldChar w:fldCharType="separate"/>
            </w:r>
            <w:r>
              <w:rPr>
                <w:noProof/>
              </w:rPr>
              <w:t>20</w:t>
            </w:r>
            <w:r>
              <w:rPr>
                <w:noProof/>
              </w:rPr>
              <w:fldChar w:fldCharType="end"/>
            </w:r>
          </w:hyperlink>
        </w:p>
        <w:p w14:paraId="77725530" w14:textId="7CFC698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2" w:history="1">
            <w:r w:rsidRPr="00B61420">
              <w:rPr>
                <w:rStyle w:val="Lienhypertexte"/>
                <w:noProof/>
              </w:rPr>
              <w:t>9.4. Spécifications techniques</w:t>
            </w:r>
            <w:r>
              <w:rPr>
                <w:noProof/>
              </w:rPr>
              <w:tab/>
            </w:r>
            <w:r>
              <w:rPr>
                <w:noProof/>
              </w:rPr>
              <w:fldChar w:fldCharType="begin"/>
            </w:r>
            <w:r>
              <w:rPr>
                <w:noProof/>
              </w:rPr>
              <w:instrText xml:space="preserve"> PAGEREF _Toc227736952 \h </w:instrText>
            </w:r>
            <w:r>
              <w:rPr>
                <w:noProof/>
              </w:rPr>
            </w:r>
            <w:r>
              <w:rPr>
                <w:noProof/>
              </w:rPr>
              <w:fldChar w:fldCharType="separate"/>
            </w:r>
            <w:r>
              <w:rPr>
                <w:noProof/>
              </w:rPr>
              <w:t>20</w:t>
            </w:r>
            <w:r>
              <w:rPr>
                <w:noProof/>
              </w:rPr>
              <w:fldChar w:fldCharType="end"/>
            </w:r>
          </w:hyperlink>
        </w:p>
        <w:p w14:paraId="783B151C" w14:textId="2CD3BEFE"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3" w:history="1">
            <w:r w:rsidRPr="00B61420">
              <w:rPr>
                <w:rStyle w:val="Lienhypertexte"/>
                <w:noProof/>
              </w:rPr>
              <w:t>LOT 10 : Formation en Administration Microsoft SQL Server</w:t>
            </w:r>
            <w:r>
              <w:rPr>
                <w:noProof/>
              </w:rPr>
              <w:tab/>
            </w:r>
            <w:r>
              <w:rPr>
                <w:noProof/>
              </w:rPr>
              <w:fldChar w:fldCharType="begin"/>
            </w:r>
            <w:r>
              <w:rPr>
                <w:noProof/>
              </w:rPr>
              <w:instrText xml:space="preserve"> PAGEREF _Toc227736953 \h </w:instrText>
            </w:r>
            <w:r>
              <w:rPr>
                <w:noProof/>
              </w:rPr>
            </w:r>
            <w:r>
              <w:rPr>
                <w:noProof/>
              </w:rPr>
              <w:fldChar w:fldCharType="separate"/>
            </w:r>
            <w:r>
              <w:rPr>
                <w:noProof/>
              </w:rPr>
              <w:t>22</w:t>
            </w:r>
            <w:r>
              <w:rPr>
                <w:noProof/>
              </w:rPr>
              <w:fldChar w:fldCharType="end"/>
            </w:r>
          </w:hyperlink>
        </w:p>
        <w:p w14:paraId="0DA5CAFC" w14:textId="5070F5A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4" w:history="1">
            <w:r w:rsidRPr="00B61420">
              <w:rPr>
                <w:rStyle w:val="Lienhypertexte"/>
                <w:noProof/>
              </w:rPr>
              <w:t>10.1. Contexte et justification</w:t>
            </w:r>
            <w:r>
              <w:rPr>
                <w:noProof/>
              </w:rPr>
              <w:tab/>
            </w:r>
            <w:r>
              <w:rPr>
                <w:noProof/>
              </w:rPr>
              <w:fldChar w:fldCharType="begin"/>
            </w:r>
            <w:r>
              <w:rPr>
                <w:noProof/>
              </w:rPr>
              <w:instrText xml:space="preserve"> PAGEREF _Toc227736954 \h </w:instrText>
            </w:r>
            <w:r>
              <w:rPr>
                <w:noProof/>
              </w:rPr>
            </w:r>
            <w:r>
              <w:rPr>
                <w:noProof/>
              </w:rPr>
              <w:fldChar w:fldCharType="separate"/>
            </w:r>
            <w:r>
              <w:rPr>
                <w:noProof/>
              </w:rPr>
              <w:t>22</w:t>
            </w:r>
            <w:r>
              <w:rPr>
                <w:noProof/>
              </w:rPr>
              <w:fldChar w:fldCharType="end"/>
            </w:r>
          </w:hyperlink>
        </w:p>
        <w:p w14:paraId="2C68EA1C" w14:textId="4617292E"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5" w:history="1">
            <w:r w:rsidRPr="00B61420">
              <w:rPr>
                <w:rStyle w:val="Lienhypertexte"/>
                <w:noProof/>
              </w:rPr>
              <w:t>10.2. Objectifs du lot</w:t>
            </w:r>
            <w:r>
              <w:rPr>
                <w:noProof/>
              </w:rPr>
              <w:tab/>
            </w:r>
            <w:r>
              <w:rPr>
                <w:noProof/>
              </w:rPr>
              <w:fldChar w:fldCharType="begin"/>
            </w:r>
            <w:r>
              <w:rPr>
                <w:noProof/>
              </w:rPr>
              <w:instrText xml:space="preserve"> PAGEREF _Toc227736955 \h </w:instrText>
            </w:r>
            <w:r>
              <w:rPr>
                <w:noProof/>
              </w:rPr>
            </w:r>
            <w:r>
              <w:rPr>
                <w:noProof/>
              </w:rPr>
              <w:fldChar w:fldCharType="separate"/>
            </w:r>
            <w:r>
              <w:rPr>
                <w:noProof/>
              </w:rPr>
              <w:t>22</w:t>
            </w:r>
            <w:r>
              <w:rPr>
                <w:noProof/>
              </w:rPr>
              <w:fldChar w:fldCharType="end"/>
            </w:r>
          </w:hyperlink>
        </w:p>
        <w:p w14:paraId="4FE9EF5D" w14:textId="188023B1"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6" w:history="1">
            <w:r w:rsidRPr="00B61420">
              <w:rPr>
                <w:rStyle w:val="Lienhypertexte"/>
                <w:noProof/>
              </w:rPr>
              <w:t>10.3. Définition des travaux</w:t>
            </w:r>
            <w:r>
              <w:rPr>
                <w:noProof/>
              </w:rPr>
              <w:tab/>
            </w:r>
            <w:r>
              <w:rPr>
                <w:noProof/>
              </w:rPr>
              <w:fldChar w:fldCharType="begin"/>
            </w:r>
            <w:r>
              <w:rPr>
                <w:noProof/>
              </w:rPr>
              <w:instrText xml:space="preserve"> PAGEREF _Toc227736956 \h </w:instrText>
            </w:r>
            <w:r>
              <w:rPr>
                <w:noProof/>
              </w:rPr>
            </w:r>
            <w:r>
              <w:rPr>
                <w:noProof/>
              </w:rPr>
              <w:fldChar w:fldCharType="separate"/>
            </w:r>
            <w:r>
              <w:rPr>
                <w:noProof/>
              </w:rPr>
              <w:t>22</w:t>
            </w:r>
            <w:r>
              <w:rPr>
                <w:noProof/>
              </w:rPr>
              <w:fldChar w:fldCharType="end"/>
            </w:r>
          </w:hyperlink>
        </w:p>
        <w:p w14:paraId="5C90AFA8" w14:textId="3D5BAA97"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7" w:history="1">
            <w:r w:rsidRPr="00B61420">
              <w:rPr>
                <w:rStyle w:val="Lienhypertexte"/>
                <w:noProof/>
              </w:rPr>
              <w:t>10.4. Spécifications techniques</w:t>
            </w:r>
            <w:r>
              <w:rPr>
                <w:noProof/>
              </w:rPr>
              <w:tab/>
            </w:r>
            <w:r>
              <w:rPr>
                <w:noProof/>
              </w:rPr>
              <w:fldChar w:fldCharType="begin"/>
            </w:r>
            <w:r>
              <w:rPr>
                <w:noProof/>
              </w:rPr>
              <w:instrText xml:space="preserve"> PAGEREF _Toc227736957 \h </w:instrText>
            </w:r>
            <w:r>
              <w:rPr>
                <w:noProof/>
              </w:rPr>
            </w:r>
            <w:r>
              <w:rPr>
                <w:noProof/>
              </w:rPr>
              <w:fldChar w:fldCharType="separate"/>
            </w:r>
            <w:r>
              <w:rPr>
                <w:noProof/>
              </w:rPr>
              <w:t>22</w:t>
            </w:r>
            <w:r>
              <w:rPr>
                <w:noProof/>
              </w:rPr>
              <w:fldChar w:fldCharType="end"/>
            </w:r>
          </w:hyperlink>
        </w:p>
        <w:p w14:paraId="35AF96F3" w14:textId="6860F44D"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8" w:history="1">
            <w:r w:rsidRPr="00B61420">
              <w:rPr>
                <w:rStyle w:val="Lienhypertexte"/>
                <w:noProof/>
              </w:rPr>
              <w:t>LOT 11 : Formation ISO 22301 Lead Implementer (PCA/PRA)</w:t>
            </w:r>
            <w:r>
              <w:rPr>
                <w:noProof/>
              </w:rPr>
              <w:tab/>
            </w:r>
            <w:r>
              <w:rPr>
                <w:noProof/>
              </w:rPr>
              <w:fldChar w:fldCharType="begin"/>
            </w:r>
            <w:r>
              <w:rPr>
                <w:noProof/>
              </w:rPr>
              <w:instrText xml:space="preserve"> PAGEREF _Toc227736958 \h </w:instrText>
            </w:r>
            <w:r>
              <w:rPr>
                <w:noProof/>
              </w:rPr>
            </w:r>
            <w:r>
              <w:rPr>
                <w:noProof/>
              </w:rPr>
              <w:fldChar w:fldCharType="separate"/>
            </w:r>
            <w:r>
              <w:rPr>
                <w:noProof/>
              </w:rPr>
              <w:t>24</w:t>
            </w:r>
            <w:r>
              <w:rPr>
                <w:noProof/>
              </w:rPr>
              <w:fldChar w:fldCharType="end"/>
            </w:r>
          </w:hyperlink>
        </w:p>
        <w:p w14:paraId="2C3EB6BB" w14:textId="2989EAD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59" w:history="1">
            <w:r w:rsidRPr="00B61420">
              <w:rPr>
                <w:rStyle w:val="Lienhypertexte"/>
                <w:noProof/>
              </w:rPr>
              <w:t>11.1. Contexte et justification</w:t>
            </w:r>
            <w:r>
              <w:rPr>
                <w:noProof/>
              </w:rPr>
              <w:tab/>
            </w:r>
            <w:r>
              <w:rPr>
                <w:noProof/>
              </w:rPr>
              <w:fldChar w:fldCharType="begin"/>
            </w:r>
            <w:r>
              <w:rPr>
                <w:noProof/>
              </w:rPr>
              <w:instrText xml:space="preserve"> PAGEREF _Toc227736959 \h </w:instrText>
            </w:r>
            <w:r>
              <w:rPr>
                <w:noProof/>
              </w:rPr>
            </w:r>
            <w:r>
              <w:rPr>
                <w:noProof/>
              </w:rPr>
              <w:fldChar w:fldCharType="separate"/>
            </w:r>
            <w:r>
              <w:rPr>
                <w:noProof/>
              </w:rPr>
              <w:t>24</w:t>
            </w:r>
            <w:r>
              <w:rPr>
                <w:noProof/>
              </w:rPr>
              <w:fldChar w:fldCharType="end"/>
            </w:r>
          </w:hyperlink>
        </w:p>
        <w:p w14:paraId="7CF4DE39" w14:textId="23AD2C03"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0" w:history="1">
            <w:r w:rsidRPr="00B61420">
              <w:rPr>
                <w:rStyle w:val="Lienhypertexte"/>
                <w:noProof/>
              </w:rPr>
              <w:t>11.2. Objectifs du lot</w:t>
            </w:r>
            <w:r>
              <w:rPr>
                <w:noProof/>
              </w:rPr>
              <w:tab/>
            </w:r>
            <w:r>
              <w:rPr>
                <w:noProof/>
              </w:rPr>
              <w:fldChar w:fldCharType="begin"/>
            </w:r>
            <w:r>
              <w:rPr>
                <w:noProof/>
              </w:rPr>
              <w:instrText xml:space="preserve"> PAGEREF _Toc227736960 \h </w:instrText>
            </w:r>
            <w:r>
              <w:rPr>
                <w:noProof/>
              </w:rPr>
            </w:r>
            <w:r>
              <w:rPr>
                <w:noProof/>
              </w:rPr>
              <w:fldChar w:fldCharType="separate"/>
            </w:r>
            <w:r>
              <w:rPr>
                <w:noProof/>
              </w:rPr>
              <w:t>24</w:t>
            </w:r>
            <w:r>
              <w:rPr>
                <w:noProof/>
              </w:rPr>
              <w:fldChar w:fldCharType="end"/>
            </w:r>
          </w:hyperlink>
        </w:p>
        <w:p w14:paraId="58FE3D0C" w14:textId="13B03E76"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1" w:history="1">
            <w:r w:rsidRPr="00B61420">
              <w:rPr>
                <w:rStyle w:val="Lienhypertexte"/>
                <w:noProof/>
              </w:rPr>
              <w:t>11.3. Définition des travaux</w:t>
            </w:r>
            <w:r>
              <w:rPr>
                <w:noProof/>
              </w:rPr>
              <w:tab/>
            </w:r>
            <w:r>
              <w:rPr>
                <w:noProof/>
              </w:rPr>
              <w:fldChar w:fldCharType="begin"/>
            </w:r>
            <w:r>
              <w:rPr>
                <w:noProof/>
              </w:rPr>
              <w:instrText xml:space="preserve"> PAGEREF _Toc227736961 \h </w:instrText>
            </w:r>
            <w:r>
              <w:rPr>
                <w:noProof/>
              </w:rPr>
            </w:r>
            <w:r>
              <w:rPr>
                <w:noProof/>
              </w:rPr>
              <w:fldChar w:fldCharType="separate"/>
            </w:r>
            <w:r>
              <w:rPr>
                <w:noProof/>
              </w:rPr>
              <w:t>24</w:t>
            </w:r>
            <w:r>
              <w:rPr>
                <w:noProof/>
              </w:rPr>
              <w:fldChar w:fldCharType="end"/>
            </w:r>
          </w:hyperlink>
        </w:p>
        <w:p w14:paraId="2C78D771" w14:textId="4F574CCD"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2" w:history="1">
            <w:r w:rsidRPr="00B61420">
              <w:rPr>
                <w:rStyle w:val="Lienhypertexte"/>
                <w:noProof/>
              </w:rPr>
              <w:t>11.4. Spécifications techniques</w:t>
            </w:r>
            <w:r>
              <w:rPr>
                <w:noProof/>
              </w:rPr>
              <w:tab/>
            </w:r>
            <w:r>
              <w:rPr>
                <w:noProof/>
              </w:rPr>
              <w:fldChar w:fldCharType="begin"/>
            </w:r>
            <w:r>
              <w:rPr>
                <w:noProof/>
              </w:rPr>
              <w:instrText xml:space="preserve"> PAGEREF _Toc227736962 \h </w:instrText>
            </w:r>
            <w:r>
              <w:rPr>
                <w:noProof/>
              </w:rPr>
            </w:r>
            <w:r>
              <w:rPr>
                <w:noProof/>
              </w:rPr>
              <w:fldChar w:fldCharType="separate"/>
            </w:r>
            <w:r>
              <w:rPr>
                <w:noProof/>
              </w:rPr>
              <w:t>24</w:t>
            </w:r>
            <w:r>
              <w:rPr>
                <w:noProof/>
              </w:rPr>
              <w:fldChar w:fldCharType="end"/>
            </w:r>
          </w:hyperlink>
        </w:p>
        <w:p w14:paraId="32EDDAF9" w14:textId="64734268"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3" w:history="1">
            <w:r w:rsidRPr="00B61420">
              <w:rPr>
                <w:rStyle w:val="Lienhypertexte"/>
                <w:noProof/>
              </w:rPr>
              <w:t>PARTIE III – MODALITÉS DE SOUMISSION (DISPOSITIONS COMMUNES)</w:t>
            </w:r>
            <w:r>
              <w:rPr>
                <w:noProof/>
              </w:rPr>
              <w:tab/>
            </w:r>
            <w:r>
              <w:rPr>
                <w:noProof/>
              </w:rPr>
              <w:fldChar w:fldCharType="begin"/>
            </w:r>
            <w:r>
              <w:rPr>
                <w:noProof/>
              </w:rPr>
              <w:instrText xml:space="preserve"> PAGEREF _Toc227736963 \h </w:instrText>
            </w:r>
            <w:r>
              <w:rPr>
                <w:noProof/>
              </w:rPr>
            </w:r>
            <w:r>
              <w:rPr>
                <w:noProof/>
              </w:rPr>
              <w:fldChar w:fldCharType="separate"/>
            </w:r>
            <w:r>
              <w:rPr>
                <w:noProof/>
              </w:rPr>
              <w:t>26</w:t>
            </w:r>
            <w:r>
              <w:rPr>
                <w:noProof/>
              </w:rPr>
              <w:fldChar w:fldCharType="end"/>
            </w:r>
          </w:hyperlink>
        </w:p>
        <w:p w14:paraId="69F662E3" w14:textId="617C46D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4" w:history="1">
            <w:r w:rsidRPr="00B61420">
              <w:rPr>
                <w:rStyle w:val="Lienhypertexte"/>
                <w:noProof/>
              </w:rPr>
              <w:t>1. Constitution des offres</w:t>
            </w:r>
            <w:r>
              <w:rPr>
                <w:noProof/>
              </w:rPr>
              <w:tab/>
            </w:r>
            <w:r>
              <w:rPr>
                <w:noProof/>
              </w:rPr>
              <w:fldChar w:fldCharType="begin"/>
            </w:r>
            <w:r>
              <w:rPr>
                <w:noProof/>
              </w:rPr>
              <w:instrText xml:space="preserve"> PAGEREF _Toc227736964 \h </w:instrText>
            </w:r>
            <w:r>
              <w:rPr>
                <w:noProof/>
              </w:rPr>
            </w:r>
            <w:r>
              <w:rPr>
                <w:noProof/>
              </w:rPr>
              <w:fldChar w:fldCharType="separate"/>
            </w:r>
            <w:r>
              <w:rPr>
                <w:noProof/>
              </w:rPr>
              <w:t>26</w:t>
            </w:r>
            <w:r>
              <w:rPr>
                <w:noProof/>
              </w:rPr>
              <w:fldChar w:fldCharType="end"/>
            </w:r>
          </w:hyperlink>
        </w:p>
        <w:p w14:paraId="2C3C95E7" w14:textId="06FC4963" w:rsidR="00CF4E5A" w:rsidRDefault="00CF4E5A">
          <w:pPr>
            <w:pStyle w:val="TM3"/>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5" w:history="1">
            <w:r w:rsidRPr="00B61420">
              <w:rPr>
                <w:rStyle w:val="Lienhypertexte"/>
                <w:noProof/>
              </w:rPr>
              <w:t>Important</w:t>
            </w:r>
            <w:r>
              <w:rPr>
                <w:noProof/>
              </w:rPr>
              <w:tab/>
            </w:r>
            <w:r>
              <w:rPr>
                <w:noProof/>
              </w:rPr>
              <w:fldChar w:fldCharType="begin"/>
            </w:r>
            <w:r>
              <w:rPr>
                <w:noProof/>
              </w:rPr>
              <w:instrText xml:space="preserve"> PAGEREF _Toc227736965 \h </w:instrText>
            </w:r>
            <w:r>
              <w:rPr>
                <w:noProof/>
              </w:rPr>
            </w:r>
            <w:r>
              <w:rPr>
                <w:noProof/>
              </w:rPr>
              <w:fldChar w:fldCharType="separate"/>
            </w:r>
            <w:r>
              <w:rPr>
                <w:noProof/>
              </w:rPr>
              <w:t>26</w:t>
            </w:r>
            <w:r>
              <w:rPr>
                <w:noProof/>
              </w:rPr>
              <w:fldChar w:fldCharType="end"/>
            </w:r>
          </w:hyperlink>
        </w:p>
        <w:p w14:paraId="2B4F86ED" w14:textId="3FCAD296"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6" w:history="1">
            <w:r w:rsidRPr="00B61420">
              <w:rPr>
                <w:rStyle w:val="Lienhypertexte"/>
                <w:noProof/>
              </w:rPr>
              <w:t>2. Transmission des offres</w:t>
            </w:r>
            <w:r>
              <w:rPr>
                <w:noProof/>
              </w:rPr>
              <w:tab/>
            </w:r>
            <w:r>
              <w:rPr>
                <w:noProof/>
              </w:rPr>
              <w:fldChar w:fldCharType="begin"/>
            </w:r>
            <w:r>
              <w:rPr>
                <w:noProof/>
              </w:rPr>
              <w:instrText xml:space="preserve"> PAGEREF _Toc227736966 \h </w:instrText>
            </w:r>
            <w:r>
              <w:rPr>
                <w:noProof/>
              </w:rPr>
            </w:r>
            <w:r>
              <w:rPr>
                <w:noProof/>
              </w:rPr>
              <w:fldChar w:fldCharType="separate"/>
            </w:r>
            <w:r>
              <w:rPr>
                <w:noProof/>
              </w:rPr>
              <w:t>26</w:t>
            </w:r>
            <w:r>
              <w:rPr>
                <w:noProof/>
              </w:rPr>
              <w:fldChar w:fldCharType="end"/>
            </w:r>
          </w:hyperlink>
        </w:p>
        <w:p w14:paraId="24F7FAEE" w14:textId="341AD24C"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7" w:history="1">
            <w:r w:rsidRPr="00B61420">
              <w:rPr>
                <w:rStyle w:val="Lienhypertexte"/>
                <w:noProof/>
              </w:rPr>
              <w:t>PARTIE IV – MODALITÉS DE TRAITEMENT DES OFFRES</w:t>
            </w:r>
            <w:r>
              <w:rPr>
                <w:noProof/>
              </w:rPr>
              <w:tab/>
            </w:r>
            <w:r>
              <w:rPr>
                <w:noProof/>
              </w:rPr>
              <w:fldChar w:fldCharType="begin"/>
            </w:r>
            <w:r>
              <w:rPr>
                <w:noProof/>
              </w:rPr>
              <w:instrText xml:space="preserve"> PAGEREF _Toc227736967 \h </w:instrText>
            </w:r>
            <w:r>
              <w:rPr>
                <w:noProof/>
              </w:rPr>
            </w:r>
            <w:r>
              <w:rPr>
                <w:noProof/>
              </w:rPr>
              <w:fldChar w:fldCharType="separate"/>
            </w:r>
            <w:r>
              <w:rPr>
                <w:noProof/>
              </w:rPr>
              <w:t>27</w:t>
            </w:r>
            <w:r>
              <w:rPr>
                <w:noProof/>
              </w:rPr>
              <w:fldChar w:fldCharType="end"/>
            </w:r>
          </w:hyperlink>
        </w:p>
        <w:p w14:paraId="58624537" w14:textId="6E52AC9F"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8" w:history="1">
            <w:r w:rsidRPr="00B61420">
              <w:rPr>
                <w:rStyle w:val="Lienhypertexte"/>
                <w:noProof/>
              </w:rPr>
              <w:t>1. Critères d’évaluation</w:t>
            </w:r>
            <w:r>
              <w:rPr>
                <w:noProof/>
              </w:rPr>
              <w:tab/>
            </w:r>
            <w:r>
              <w:rPr>
                <w:noProof/>
              </w:rPr>
              <w:fldChar w:fldCharType="begin"/>
            </w:r>
            <w:r>
              <w:rPr>
                <w:noProof/>
              </w:rPr>
              <w:instrText xml:space="preserve"> PAGEREF _Toc227736968 \h </w:instrText>
            </w:r>
            <w:r>
              <w:rPr>
                <w:noProof/>
              </w:rPr>
            </w:r>
            <w:r>
              <w:rPr>
                <w:noProof/>
              </w:rPr>
              <w:fldChar w:fldCharType="separate"/>
            </w:r>
            <w:r>
              <w:rPr>
                <w:noProof/>
              </w:rPr>
              <w:t>27</w:t>
            </w:r>
            <w:r>
              <w:rPr>
                <w:noProof/>
              </w:rPr>
              <w:fldChar w:fldCharType="end"/>
            </w:r>
          </w:hyperlink>
        </w:p>
        <w:p w14:paraId="4D063721" w14:textId="6953D94A"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69" w:history="1">
            <w:r w:rsidRPr="00B61420">
              <w:rPr>
                <w:rStyle w:val="Lienhypertexte"/>
                <w:noProof/>
              </w:rPr>
              <w:t>2. Principaux critères éliminatoires</w:t>
            </w:r>
            <w:r>
              <w:rPr>
                <w:noProof/>
              </w:rPr>
              <w:tab/>
            </w:r>
            <w:r>
              <w:rPr>
                <w:noProof/>
              </w:rPr>
              <w:fldChar w:fldCharType="begin"/>
            </w:r>
            <w:r>
              <w:rPr>
                <w:noProof/>
              </w:rPr>
              <w:instrText xml:space="preserve"> PAGEREF _Toc227736969 \h </w:instrText>
            </w:r>
            <w:r>
              <w:rPr>
                <w:noProof/>
              </w:rPr>
            </w:r>
            <w:r>
              <w:rPr>
                <w:noProof/>
              </w:rPr>
              <w:fldChar w:fldCharType="separate"/>
            </w:r>
            <w:r>
              <w:rPr>
                <w:noProof/>
              </w:rPr>
              <w:t>27</w:t>
            </w:r>
            <w:r>
              <w:rPr>
                <w:noProof/>
              </w:rPr>
              <w:fldChar w:fldCharType="end"/>
            </w:r>
          </w:hyperlink>
        </w:p>
        <w:p w14:paraId="027DD944" w14:textId="024E52D5"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0" w:history="1">
            <w:r w:rsidRPr="00B61420">
              <w:rPr>
                <w:rStyle w:val="Lienhypertexte"/>
                <w:noProof/>
              </w:rPr>
              <w:t>3. Procédure de sélection du prestataire</w:t>
            </w:r>
            <w:r>
              <w:rPr>
                <w:noProof/>
              </w:rPr>
              <w:tab/>
            </w:r>
            <w:r>
              <w:rPr>
                <w:noProof/>
              </w:rPr>
              <w:fldChar w:fldCharType="begin"/>
            </w:r>
            <w:r>
              <w:rPr>
                <w:noProof/>
              </w:rPr>
              <w:instrText xml:space="preserve"> PAGEREF _Toc227736970 \h </w:instrText>
            </w:r>
            <w:r>
              <w:rPr>
                <w:noProof/>
              </w:rPr>
            </w:r>
            <w:r>
              <w:rPr>
                <w:noProof/>
              </w:rPr>
              <w:fldChar w:fldCharType="separate"/>
            </w:r>
            <w:r>
              <w:rPr>
                <w:noProof/>
              </w:rPr>
              <w:t>27</w:t>
            </w:r>
            <w:r>
              <w:rPr>
                <w:noProof/>
              </w:rPr>
              <w:fldChar w:fldCharType="end"/>
            </w:r>
          </w:hyperlink>
        </w:p>
        <w:p w14:paraId="3104A4E0" w14:textId="66D18E68"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1" w:history="1">
            <w:r w:rsidRPr="00B61420">
              <w:rPr>
                <w:rStyle w:val="Lienhypertexte"/>
                <w:noProof/>
              </w:rPr>
              <w:t>4. Garantie</w:t>
            </w:r>
            <w:r>
              <w:rPr>
                <w:noProof/>
              </w:rPr>
              <w:tab/>
            </w:r>
            <w:r>
              <w:rPr>
                <w:noProof/>
              </w:rPr>
              <w:fldChar w:fldCharType="begin"/>
            </w:r>
            <w:r>
              <w:rPr>
                <w:noProof/>
              </w:rPr>
              <w:instrText xml:space="preserve"> PAGEREF _Toc227736971 \h </w:instrText>
            </w:r>
            <w:r>
              <w:rPr>
                <w:noProof/>
              </w:rPr>
            </w:r>
            <w:r>
              <w:rPr>
                <w:noProof/>
              </w:rPr>
              <w:fldChar w:fldCharType="separate"/>
            </w:r>
            <w:r>
              <w:rPr>
                <w:noProof/>
              </w:rPr>
              <w:t>27</w:t>
            </w:r>
            <w:r>
              <w:rPr>
                <w:noProof/>
              </w:rPr>
              <w:fldChar w:fldCharType="end"/>
            </w:r>
          </w:hyperlink>
        </w:p>
        <w:p w14:paraId="1A35EE6F" w14:textId="13F4A106"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2" w:history="1">
            <w:r w:rsidRPr="00B61420">
              <w:rPr>
                <w:rStyle w:val="Lienhypertexte"/>
                <w:noProof/>
              </w:rPr>
              <w:t>PARTIE V – CONTENU DES OFFRES</w:t>
            </w:r>
            <w:r>
              <w:rPr>
                <w:noProof/>
              </w:rPr>
              <w:tab/>
            </w:r>
            <w:r>
              <w:rPr>
                <w:noProof/>
              </w:rPr>
              <w:fldChar w:fldCharType="begin"/>
            </w:r>
            <w:r>
              <w:rPr>
                <w:noProof/>
              </w:rPr>
              <w:instrText xml:space="preserve"> PAGEREF _Toc227736972 \h </w:instrText>
            </w:r>
            <w:r>
              <w:rPr>
                <w:noProof/>
              </w:rPr>
            </w:r>
            <w:r>
              <w:rPr>
                <w:noProof/>
              </w:rPr>
              <w:fldChar w:fldCharType="separate"/>
            </w:r>
            <w:r>
              <w:rPr>
                <w:noProof/>
              </w:rPr>
              <w:t>28</w:t>
            </w:r>
            <w:r>
              <w:rPr>
                <w:noProof/>
              </w:rPr>
              <w:fldChar w:fldCharType="end"/>
            </w:r>
          </w:hyperlink>
        </w:p>
        <w:p w14:paraId="2208E6A0" w14:textId="5C50F372"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3" w:history="1">
            <w:r w:rsidRPr="00B61420">
              <w:rPr>
                <w:rStyle w:val="Lienhypertexte"/>
                <w:noProof/>
              </w:rPr>
              <w:t>1. Constitution du dossier administratif</w:t>
            </w:r>
            <w:r>
              <w:rPr>
                <w:noProof/>
              </w:rPr>
              <w:tab/>
            </w:r>
            <w:r>
              <w:rPr>
                <w:noProof/>
              </w:rPr>
              <w:fldChar w:fldCharType="begin"/>
            </w:r>
            <w:r>
              <w:rPr>
                <w:noProof/>
              </w:rPr>
              <w:instrText xml:space="preserve"> PAGEREF _Toc227736973 \h </w:instrText>
            </w:r>
            <w:r>
              <w:rPr>
                <w:noProof/>
              </w:rPr>
            </w:r>
            <w:r>
              <w:rPr>
                <w:noProof/>
              </w:rPr>
              <w:fldChar w:fldCharType="separate"/>
            </w:r>
            <w:r>
              <w:rPr>
                <w:noProof/>
              </w:rPr>
              <w:t>28</w:t>
            </w:r>
            <w:r>
              <w:rPr>
                <w:noProof/>
              </w:rPr>
              <w:fldChar w:fldCharType="end"/>
            </w:r>
          </w:hyperlink>
        </w:p>
        <w:p w14:paraId="4A845AD8" w14:textId="768ADD90"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4" w:history="1">
            <w:r w:rsidRPr="00B61420">
              <w:rPr>
                <w:rStyle w:val="Lienhypertexte"/>
                <w:noProof/>
              </w:rPr>
              <w:t>2. Contenu de l’offre technique</w:t>
            </w:r>
            <w:r>
              <w:rPr>
                <w:noProof/>
              </w:rPr>
              <w:tab/>
            </w:r>
            <w:r>
              <w:rPr>
                <w:noProof/>
              </w:rPr>
              <w:fldChar w:fldCharType="begin"/>
            </w:r>
            <w:r>
              <w:rPr>
                <w:noProof/>
              </w:rPr>
              <w:instrText xml:space="preserve"> PAGEREF _Toc227736974 \h </w:instrText>
            </w:r>
            <w:r>
              <w:rPr>
                <w:noProof/>
              </w:rPr>
            </w:r>
            <w:r>
              <w:rPr>
                <w:noProof/>
              </w:rPr>
              <w:fldChar w:fldCharType="separate"/>
            </w:r>
            <w:r>
              <w:rPr>
                <w:noProof/>
              </w:rPr>
              <w:t>28</w:t>
            </w:r>
            <w:r>
              <w:rPr>
                <w:noProof/>
              </w:rPr>
              <w:fldChar w:fldCharType="end"/>
            </w:r>
          </w:hyperlink>
        </w:p>
        <w:p w14:paraId="529DFEB0" w14:textId="101BADD8" w:rsidR="00CF4E5A" w:rsidRDefault="00CF4E5A">
          <w:pPr>
            <w:pStyle w:val="TM2"/>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5" w:history="1">
            <w:r w:rsidRPr="00B61420">
              <w:rPr>
                <w:rStyle w:val="Lienhypertexte"/>
                <w:noProof/>
              </w:rPr>
              <w:t>3. Contenu de l’offre financière</w:t>
            </w:r>
            <w:r>
              <w:rPr>
                <w:noProof/>
              </w:rPr>
              <w:tab/>
            </w:r>
            <w:r>
              <w:rPr>
                <w:noProof/>
              </w:rPr>
              <w:fldChar w:fldCharType="begin"/>
            </w:r>
            <w:r>
              <w:rPr>
                <w:noProof/>
              </w:rPr>
              <w:instrText xml:space="preserve"> PAGEREF _Toc227736975 \h </w:instrText>
            </w:r>
            <w:r>
              <w:rPr>
                <w:noProof/>
              </w:rPr>
            </w:r>
            <w:r>
              <w:rPr>
                <w:noProof/>
              </w:rPr>
              <w:fldChar w:fldCharType="separate"/>
            </w:r>
            <w:r>
              <w:rPr>
                <w:noProof/>
              </w:rPr>
              <w:t>28</w:t>
            </w:r>
            <w:r>
              <w:rPr>
                <w:noProof/>
              </w:rPr>
              <w:fldChar w:fldCharType="end"/>
            </w:r>
          </w:hyperlink>
        </w:p>
        <w:p w14:paraId="12408733" w14:textId="533F2F70" w:rsidR="00CF4E5A" w:rsidRDefault="00CF4E5A">
          <w:pPr>
            <w:pStyle w:val="TM1"/>
            <w:tabs>
              <w:tab w:val="right" w:leader="dot" w:pos="9016"/>
            </w:tabs>
            <w:rPr>
              <w:rFonts w:asciiTheme="minorHAnsi" w:eastAsiaTheme="minorEastAsia" w:hAnsiTheme="minorHAnsi" w:cstheme="minorBidi"/>
              <w:noProof/>
              <w:kern w:val="2"/>
              <w:sz w:val="24"/>
              <w:szCs w:val="24"/>
              <w:lang w:val="fr-CM" w:eastAsia="fr-CM"/>
              <w14:ligatures w14:val="standardContextual"/>
            </w:rPr>
          </w:pPr>
          <w:hyperlink w:anchor="_Toc227736976" w:history="1">
            <w:r w:rsidRPr="00B61420">
              <w:rPr>
                <w:rStyle w:val="Lienhypertexte"/>
                <w:noProof/>
              </w:rPr>
              <w:t>ANNEXE 1 – Modèle de forme proposée pour l’offre technique</w:t>
            </w:r>
            <w:r>
              <w:rPr>
                <w:noProof/>
              </w:rPr>
              <w:tab/>
            </w:r>
            <w:r>
              <w:rPr>
                <w:noProof/>
              </w:rPr>
              <w:fldChar w:fldCharType="begin"/>
            </w:r>
            <w:r>
              <w:rPr>
                <w:noProof/>
              </w:rPr>
              <w:instrText xml:space="preserve"> PAGEREF _Toc227736976 \h </w:instrText>
            </w:r>
            <w:r>
              <w:rPr>
                <w:noProof/>
              </w:rPr>
            </w:r>
            <w:r>
              <w:rPr>
                <w:noProof/>
              </w:rPr>
              <w:fldChar w:fldCharType="separate"/>
            </w:r>
            <w:r>
              <w:rPr>
                <w:noProof/>
              </w:rPr>
              <w:t>29</w:t>
            </w:r>
            <w:r>
              <w:rPr>
                <w:noProof/>
              </w:rPr>
              <w:fldChar w:fldCharType="end"/>
            </w:r>
          </w:hyperlink>
        </w:p>
        <w:p w14:paraId="1E214AF9" w14:textId="508F5A29" w:rsidR="0017711C" w:rsidRDefault="00DA10C4">
          <w:r>
            <w:rPr>
              <w:sz w:val="6"/>
              <w:szCs w:val="6"/>
            </w:rPr>
            <w:fldChar w:fldCharType="end"/>
          </w:r>
        </w:p>
      </w:sdtContent>
    </w:sdt>
    <w:p w14:paraId="7E45F703" w14:textId="32C53E7B" w:rsidR="0017711C" w:rsidRDefault="0017711C"/>
    <w:p w14:paraId="75AEF220" w14:textId="77777777" w:rsidR="005B049E" w:rsidRDefault="005B049E"/>
    <w:p w14:paraId="401F2BCC" w14:textId="77777777" w:rsidR="005B049E" w:rsidRDefault="005B049E"/>
    <w:p w14:paraId="2AD622D8" w14:textId="77777777" w:rsidR="005B049E" w:rsidRDefault="005B049E"/>
    <w:p w14:paraId="19C4562B" w14:textId="77777777" w:rsidR="005B049E" w:rsidRDefault="005B049E"/>
    <w:p w14:paraId="3CA1801F" w14:textId="77777777" w:rsidR="005B049E" w:rsidRDefault="005B049E"/>
    <w:p w14:paraId="383FF5F1" w14:textId="77777777" w:rsidR="005B049E" w:rsidRDefault="005B049E"/>
    <w:p w14:paraId="1DDFE1DA" w14:textId="77777777" w:rsidR="005B049E" w:rsidRDefault="005B049E"/>
    <w:p w14:paraId="6FF80999" w14:textId="77777777" w:rsidR="005B049E" w:rsidRDefault="005B049E"/>
    <w:p w14:paraId="411F4046" w14:textId="77777777" w:rsidR="005B049E" w:rsidRDefault="005B049E"/>
    <w:p w14:paraId="4440EF17" w14:textId="77777777" w:rsidR="005B049E" w:rsidRDefault="005B049E"/>
    <w:p w14:paraId="3E1B2A8C" w14:textId="77777777" w:rsidR="005B049E" w:rsidRDefault="005B049E"/>
    <w:p w14:paraId="61E80691" w14:textId="550FEA4C" w:rsidR="005B049E" w:rsidRDefault="007C088A">
      <w:r>
        <w:br w:type="page"/>
      </w:r>
    </w:p>
    <w:p w14:paraId="5D223602" w14:textId="77777777" w:rsidR="0017711C" w:rsidRDefault="00DA10C4">
      <w:pPr>
        <w:pStyle w:val="Titre1"/>
      </w:pPr>
      <w:bookmarkStart w:id="3" w:name="_Toc227736903"/>
      <w:r>
        <w:t>PARTIE I – DISPOSITIONS GÉNÉRALES</w:t>
      </w:r>
      <w:bookmarkEnd w:id="3"/>
    </w:p>
    <w:p w14:paraId="047ED7C0" w14:textId="77777777" w:rsidR="0017711C" w:rsidRDefault="00DA10C4">
      <w:pPr>
        <w:pStyle w:val="Titre2"/>
      </w:pPr>
      <w:bookmarkStart w:id="4" w:name="_Toc227736904"/>
      <w:r>
        <w:t>1. Présentation de la BVMAC</w:t>
      </w:r>
      <w:bookmarkEnd w:id="4"/>
    </w:p>
    <w:p w14:paraId="11279F3E" w14:textId="77777777" w:rsidR="0017711C" w:rsidRDefault="00DA10C4">
      <w:pPr>
        <w:spacing w:after="120"/>
        <w:jc w:val="both"/>
      </w:pPr>
      <w:r>
        <w:t>La Bourse des Valeurs Mobilières de l’Afrique Centrale (BVMAC), est investie, à titre exclusif, de la mission de service public d’organisation, d’animation et de gestion du Marché Financier Régional. Elle assure les fonctions d’Entreprise de Marché.</w:t>
      </w:r>
    </w:p>
    <w:p w14:paraId="3814D3BB" w14:textId="77777777" w:rsidR="0017711C" w:rsidRDefault="00DA10C4">
      <w:pPr>
        <w:spacing w:after="120"/>
        <w:jc w:val="both"/>
      </w:pPr>
      <w:r>
        <w:t>Société de droit privé constituée sous la forme de « Société Anonyme », elle est soumise aux dispositions de l’Acte Uniforme relatif au Droit des Sociétés Commerciales et du Groupement d’Intérêt Economique et surtout aussi aux Règles du Marché Financier Régional supervisé par son Régulateur, la COSUMAF.</w:t>
      </w:r>
    </w:p>
    <w:p w14:paraId="120B8E58" w14:textId="77777777" w:rsidR="0017711C" w:rsidRDefault="00DA10C4">
      <w:pPr>
        <w:spacing w:after="120"/>
        <w:jc w:val="both"/>
      </w:pPr>
      <w:r>
        <w:t>La BVMAC se donne pour vision d’être la première source de financement des économies de la sous-région CEMAC. Elle se propose de mettre en œuvre les actions stratégiques qui vont lui permettre d’atteindre ses objectifs à travers l’accomplissement de ses principales missions qui sont :</w:t>
      </w:r>
    </w:p>
    <w:p w14:paraId="60607E8A" w14:textId="77777777" w:rsidR="0017711C" w:rsidRDefault="00DA10C4">
      <w:pPr>
        <w:pStyle w:val="Paragraphedeliste"/>
        <w:numPr>
          <w:ilvl w:val="0"/>
          <w:numId w:val="2"/>
        </w:numPr>
        <w:spacing w:after="60"/>
      </w:pPr>
      <w:r>
        <w:t>Organiser l’inscription et la cotation des valeurs ;</w:t>
      </w:r>
    </w:p>
    <w:p w14:paraId="70E3534A" w14:textId="77777777" w:rsidR="0017711C" w:rsidRDefault="00DA10C4">
      <w:pPr>
        <w:pStyle w:val="Paragraphedeliste"/>
        <w:numPr>
          <w:ilvl w:val="0"/>
          <w:numId w:val="2"/>
        </w:numPr>
        <w:spacing w:after="60"/>
      </w:pPr>
      <w:r>
        <w:t>Assurer la publication des cours ;</w:t>
      </w:r>
    </w:p>
    <w:p w14:paraId="5BFF31F2" w14:textId="77777777" w:rsidR="0017711C" w:rsidRDefault="00DA10C4">
      <w:pPr>
        <w:pStyle w:val="Paragraphedeliste"/>
        <w:numPr>
          <w:ilvl w:val="0"/>
          <w:numId w:val="2"/>
        </w:numPr>
        <w:spacing w:after="60"/>
      </w:pPr>
      <w:r>
        <w:t>Promouvoir le développement du Marché.</w:t>
      </w:r>
    </w:p>
    <w:p w14:paraId="682BF8B0" w14:textId="77777777" w:rsidR="0017711C" w:rsidRDefault="00DA10C4">
      <w:pPr>
        <w:pStyle w:val="Titre2"/>
      </w:pPr>
      <w:bookmarkStart w:id="5" w:name="_Toc227736905"/>
      <w:r>
        <w:t>2. Objet du présent appel d’offres</w:t>
      </w:r>
      <w:bookmarkEnd w:id="5"/>
    </w:p>
    <w:p w14:paraId="79F067BA" w14:textId="77777777" w:rsidR="0017711C" w:rsidRDefault="00DA10C4">
      <w:pPr>
        <w:spacing w:after="120"/>
        <w:jc w:val="both"/>
      </w:pPr>
      <w:r>
        <w:t>Le présent document constitue les Termes de Référence (TDR) pour la sélection de prestataires en vue de la réalisation d’un programme de formation au profit des collaborateurs de la Direction des Systèmes d’Information (DSI) de la BVMAC.</w:t>
      </w:r>
    </w:p>
    <w:p w14:paraId="16C84B13" w14:textId="77777777" w:rsidR="0017711C" w:rsidRDefault="00DA10C4">
      <w:pPr>
        <w:spacing w:after="120"/>
        <w:jc w:val="both"/>
      </w:pPr>
      <w:r>
        <w:t>Ce programme est décomposé en onze (11) lots indépendants. Les soumissionnaires peuvent répondre à un ou plusieurs lots. Chaque lot fera l’objet d’une évaluation et d’une attribution distincte.</w:t>
      </w:r>
    </w:p>
    <w:p w14:paraId="1CF4DF29" w14:textId="77777777" w:rsidR="0017711C" w:rsidRDefault="00DA10C4">
      <w:pPr>
        <w:pStyle w:val="Titre2"/>
      </w:pPr>
      <w:bookmarkStart w:id="6" w:name="_Toc227736906"/>
      <w:r>
        <w:t>3. Récapitulatif des lots</w:t>
      </w:r>
      <w:bookmarkEnd w:id="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8160"/>
      </w:tblGrid>
      <w:tr w:rsidR="0017711C" w14:paraId="397EB21A" w14:textId="77777777">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7921F7C4" w14:textId="77777777" w:rsidR="0017711C" w:rsidRDefault="00DA10C4">
            <w:pPr>
              <w:jc w:val="center"/>
            </w:pPr>
            <w:r>
              <w:rPr>
                <w:b/>
                <w:bCs/>
                <w:color w:val="FFFFFF"/>
                <w:sz w:val="20"/>
                <w:szCs w:val="20"/>
              </w:rPr>
              <w:t>Lot</w:t>
            </w:r>
          </w:p>
        </w:tc>
        <w:tc>
          <w:tcPr>
            <w:tcW w:w="816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vAlign w:val="center"/>
          </w:tcPr>
          <w:p w14:paraId="272B0C2C" w14:textId="77777777" w:rsidR="0017711C" w:rsidRDefault="00DA10C4">
            <w:pPr>
              <w:jc w:val="center"/>
            </w:pPr>
            <w:r>
              <w:rPr>
                <w:b/>
                <w:bCs/>
                <w:color w:val="FFFFFF"/>
                <w:sz w:val="20"/>
                <w:szCs w:val="20"/>
              </w:rPr>
              <w:t>Désignation</w:t>
            </w:r>
          </w:p>
        </w:tc>
      </w:tr>
      <w:tr w:rsidR="0017711C" w14:paraId="4B112DB3"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4C83592D" w14:textId="77777777" w:rsidR="0017711C" w:rsidRDefault="00DA10C4">
            <w:pPr>
              <w:jc w:val="center"/>
            </w:pPr>
            <w:r>
              <w:rPr>
                <w:b/>
                <w:bCs/>
                <w:sz w:val="20"/>
                <w:szCs w:val="20"/>
              </w:rPr>
              <w:t>Lot 1</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6600E2FF" w14:textId="77777777" w:rsidR="0017711C" w:rsidRDefault="00DA10C4">
            <w:r>
              <w:rPr>
                <w:sz w:val="20"/>
                <w:szCs w:val="20"/>
              </w:rPr>
              <w:t>Formation Fortinet NSE 4 (Pare-feu FortiGate)</w:t>
            </w:r>
          </w:p>
        </w:tc>
      </w:tr>
      <w:tr w:rsidR="0017711C" w14:paraId="7F11D8B3" w14:textId="77777777">
        <w:tc>
          <w:tcPr>
            <w:tcW w:w="1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6D12F66E" w14:textId="77777777" w:rsidR="0017711C" w:rsidRDefault="00DA10C4">
            <w:pPr>
              <w:jc w:val="center"/>
            </w:pPr>
            <w:r>
              <w:rPr>
                <w:b/>
                <w:bCs/>
                <w:sz w:val="20"/>
                <w:szCs w:val="20"/>
              </w:rPr>
              <w:t>Lot 2</w:t>
            </w:r>
          </w:p>
        </w:tc>
        <w:tc>
          <w:tcPr>
            <w:tcW w:w="8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0B84C1F7" w14:textId="77777777" w:rsidR="0017711C" w:rsidRDefault="00DA10C4">
            <w:r>
              <w:rPr>
                <w:sz w:val="20"/>
                <w:szCs w:val="20"/>
              </w:rPr>
              <w:t>Formation ISO 27001 Lead Implementer</w:t>
            </w:r>
          </w:p>
        </w:tc>
      </w:tr>
      <w:tr w:rsidR="0017711C" w14:paraId="68E7548A"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6AB33F2A" w14:textId="77777777" w:rsidR="0017711C" w:rsidRDefault="00DA10C4">
            <w:pPr>
              <w:jc w:val="center"/>
            </w:pPr>
            <w:r>
              <w:rPr>
                <w:b/>
                <w:bCs/>
                <w:sz w:val="20"/>
                <w:szCs w:val="20"/>
              </w:rPr>
              <w:t>Lot 3</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798B1D13" w14:textId="77777777" w:rsidR="0017711C" w:rsidRDefault="00DA10C4">
            <w:r>
              <w:rPr>
                <w:sz w:val="20"/>
                <w:szCs w:val="20"/>
              </w:rPr>
              <w:t>Formation ITIL (Information Technology Infrastructure Library)</w:t>
            </w:r>
          </w:p>
        </w:tc>
      </w:tr>
      <w:tr w:rsidR="0017711C" w14:paraId="4F305D35" w14:textId="77777777">
        <w:tc>
          <w:tcPr>
            <w:tcW w:w="1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0DA32F0B" w14:textId="77777777" w:rsidR="0017711C" w:rsidRDefault="00DA10C4">
            <w:pPr>
              <w:jc w:val="center"/>
            </w:pPr>
            <w:r>
              <w:rPr>
                <w:b/>
                <w:bCs/>
                <w:sz w:val="20"/>
                <w:szCs w:val="20"/>
              </w:rPr>
              <w:t>Lot 4</w:t>
            </w:r>
          </w:p>
        </w:tc>
        <w:tc>
          <w:tcPr>
            <w:tcW w:w="8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4850649B" w14:textId="77777777" w:rsidR="0017711C" w:rsidRDefault="00DA10C4">
            <w:r>
              <w:rPr>
                <w:sz w:val="20"/>
                <w:szCs w:val="20"/>
              </w:rPr>
              <w:t>Formation PMP (Project Management Professional)</w:t>
            </w:r>
          </w:p>
        </w:tc>
      </w:tr>
      <w:tr w:rsidR="0017711C" w14:paraId="714936BC"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0D749E5D" w14:textId="77777777" w:rsidR="0017711C" w:rsidRDefault="00DA10C4">
            <w:pPr>
              <w:jc w:val="center"/>
            </w:pPr>
            <w:r>
              <w:rPr>
                <w:b/>
                <w:bCs/>
                <w:sz w:val="20"/>
                <w:szCs w:val="20"/>
              </w:rPr>
              <w:t>Lot 5</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4DEBFCAC" w14:textId="77777777" w:rsidR="0017711C" w:rsidRDefault="00DA10C4">
            <w:r>
              <w:rPr>
                <w:sz w:val="20"/>
                <w:szCs w:val="20"/>
              </w:rPr>
              <w:t>Formation CEH v13 (Certified Ethical Hacker)</w:t>
            </w:r>
          </w:p>
        </w:tc>
      </w:tr>
      <w:tr w:rsidR="0017711C" w14:paraId="6E175D46" w14:textId="77777777">
        <w:tc>
          <w:tcPr>
            <w:tcW w:w="1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20C5CBDA" w14:textId="77777777" w:rsidR="0017711C" w:rsidRDefault="00DA10C4">
            <w:pPr>
              <w:jc w:val="center"/>
            </w:pPr>
            <w:r>
              <w:rPr>
                <w:b/>
                <w:bCs/>
                <w:sz w:val="20"/>
                <w:szCs w:val="20"/>
              </w:rPr>
              <w:t>Lot 6</w:t>
            </w:r>
          </w:p>
        </w:tc>
        <w:tc>
          <w:tcPr>
            <w:tcW w:w="8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5F2A1FEB" w14:textId="77777777" w:rsidR="0017711C" w:rsidRDefault="00DA10C4">
            <w:r>
              <w:rPr>
                <w:sz w:val="20"/>
                <w:szCs w:val="20"/>
              </w:rPr>
              <w:t>Formation MEHARI Risk Manager</w:t>
            </w:r>
          </w:p>
        </w:tc>
      </w:tr>
      <w:tr w:rsidR="0017711C" w14:paraId="3602D910"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11623DA5" w14:textId="77777777" w:rsidR="0017711C" w:rsidRDefault="00DA10C4">
            <w:pPr>
              <w:jc w:val="center"/>
            </w:pPr>
            <w:r>
              <w:rPr>
                <w:b/>
                <w:bCs/>
                <w:sz w:val="20"/>
                <w:szCs w:val="20"/>
              </w:rPr>
              <w:t>Lot 7</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00E3961F" w14:textId="77777777" w:rsidR="0017711C" w:rsidRDefault="00DA10C4">
            <w:r>
              <w:rPr>
                <w:sz w:val="20"/>
                <w:szCs w:val="20"/>
              </w:rPr>
              <w:t>Formation Huawei HCIA-Datacom</w:t>
            </w:r>
          </w:p>
        </w:tc>
      </w:tr>
      <w:tr w:rsidR="0017711C" w14:paraId="5DBB97CA" w14:textId="77777777">
        <w:tc>
          <w:tcPr>
            <w:tcW w:w="1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264DFE53" w14:textId="77777777" w:rsidR="0017711C" w:rsidRDefault="00DA10C4">
            <w:pPr>
              <w:jc w:val="center"/>
            </w:pPr>
            <w:r>
              <w:rPr>
                <w:b/>
                <w:bCs/>
                <w:sz w:val="20"/>
                <w:szCs w:val="20"/>
              </w:rPr>
              <w:t>Lot 8</w:t>
            </w:r>
          </w:p>
        </w:tc>
        <w:tc>
          <w:tcPr>
            <w:tcW w:w="8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19228E58" w14:textId="77777777" w:rsidR="0017711C" w:rsidRDefault="00DA10C4">
            <w:r>
              <w:rPr>
                <w:sz w:val="20"/>
                <w:szCs w:val="20"/>
              </w:rPr>
              <w:t>Formation Huawei HCIA-Storage</w:t>
            </w:r>
          </w:p>
        </w:tc>
      </w:tr>
      <w:tr w:rsidR="0017711C" w14:paraId="4A688CF3"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00BB07B7" w14:textId="77777777" w:rsidR="0017711C" w:rsidRDefault="00DA10C4">
            <w:pPr>
              <w:jc w:val="center"/>
            </w:pPr>
            <w:r>
              <w:rPr>
                <w:b/>
                <w:bCs/>
                <w:sz w:val="20"/>
                <w:szCs w:val="20"/>
              </w:rPr>
              <w:t>Lot 9</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2223971A" w14:textId="77777777" w:rsidR="0017711C" w:rsidRDefault="00DA10C4">
            <w:r>
              <w:rPr>
                <w:sz w:val="20"/>
                <w:szCs w:val="20"/>
              </w:rPr>
              <w:t>Formation Oracle OCA (Oracle Certified Associate – Database Administration)</w:t>
            </w:r>
          </w:p>
        </w:tc>
      </w:tr>
      <w:tr w:rsidR="0017711C" w14:paraId="6D139136" w14:textId="77777777">
        <w:tc>
          <w:tcPr>
            <w:tcW w:w="120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27F416B7" w14:textId="77777777" w:rsidR="0017711C" w:rsidRDefault="00DA10C4">
            <w:pPr>
              <w:jc w:val="center"/>
            </w:pPr>
            <w:r>
              <w:rPr>
                <w:b/>
                <w:bCs/>
                <w:sz w:val="20"/>
                <w:szCs w:val="20"/>
              </w:rPr>
              <w:t>Lot 10</w:t>
            </w:r>
          </w:p>
        </w:tc>
        <w:tc>
          <w:tcPr>
            <w:tcW w:w="8160" w:type="dxa"/>
            <w:tcBorders>
              <w:top w:val="single" w:sz="1" w:space="0" w:color="CCCCCC"/>
              <w:left w:val="single" w:sz="1" w:space="0" w:color="CCCCCC"/>
              <w:bottom w:val="single" w:sz="1" w:space="0" w:color="CCCCCC"/>
              <w:right w:val="single" w:sz="1" w:space="0" w:color="CCCCCC"/>
            </w:tcBorders>
            <w:shd w:val="clear" w:color="auto" w:fill="F2F7FB"/>
            <w:tcMar>
              <w:top w:w="60" w:type="dxa"/>
              <w:left w:w="100" w:type="dxa"/>
              <w:bottom w:w="60" w:type="dxa"/>
              <w:right w:w="100" w:type="dxa"/>
            </w:tcMar>
            <w:vAlign w:val="center"/>
          </w:tcPr>
          <w:p w14:paraId="5A1830C3" w14:textId="77777777" w:rsidR="0017711C" w:rsidRDefault="00DA10C4">
            <w:r>
              <w:rPr>
                <w:sz w:val="20"/>
                <w:szCs w:val="20"/>
              </w:rPr>
              <w:t>Formation en Administration Microsoft SQL Server</w:t>
            </w:r>
          </w:p>
        </w:tc>
      </w:tr>
      <w:tr w:rsidR="0017711C" w14:paraId="12E58057" w14:textId="77777777">
        <w:tc>
          <w:tcPr>
            <w:tcW w:w="12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22B6C5CC" w14:textId="77777777" w:rsidR="0017711C" w:rsidRDefault="00DA10C4">
            <w:pPr>
              <w:jc w:val="center"/>
            </w:pPr>
            <w:r>
              <w:rPr>
                <w:b/>
                <w:bCs/>
                <w:sz w:val="20"/>
                <w:szCs w:val="20"/>
              </w:rPr>
              <w:t>Lot 11</w:t>
            </w:r>
          </w:p>
        </w:tc>
        <w:tc>
          <w:tcPr>
            <w:tcW w:w="81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14:paraId="58CEDC47" w14:textId="77777777" w:rsidR="0017711C" w:rsidRDefault="00DA10C4">
            <w:r>
              <w:rPr>
                <w:sz w:val="20"/>
                <w:szCs w:val="20"/>
              </w:rPr>
              <w:t>Formation ISO 22301 Lead Implementer (PCA/PRA)</w:t>
            </w:r>
          </w:p>
        </w:tc>
      </w:tr>
    </w:tbl>
    <w:p w14:paraId="09793657" w14:textId="77777777" w:rsidR="0017711C" w:rsidRDefault="00DA10C4">
      <w:r>
        <w:br w:type="page"/>
      </w:r>
    </w:p>
    <w:p w14:paraId="0A266BF2" w14:textId="77777777" w:rsidR="0017711C" w:rsidRDefault="00DA10C4">
      <w:pPr>
        <w:pStyle w:val="Titre1"/>
      </w:pPr>
      <w:bookmarkStart w:id="7" w:name="_Toc227736907"/>
      <w:r>
        <w:t>PARTIE II – DESCRIPTION DES LOTS</w:t>
      </w:r>
      <w:bookmarkEnd w:id="7"/>
    </w:p>
    <w:p w14:paraId="7F07C933" w14:textId="77777777" w:rsidR="0017711C" w:rsidRDefault="00DA10C4">
      <w:pPr>
        <w:pStyle w:val="Titre1"/>
        <w:pBdr>
          <w:bottom w:val="single" w:sz="6" w:space="4" w:color="2E75B6"/>
        </w:pBdr>
        <w:spacing w:before="480" w:after="300"/>
      </w:pPr>
      <w:bookmarkStart w:id="8" w:name="_Toc227736908"/>
      <w:r>
        <w:t>LOT 1 : Formation Fortinet NSE 4 (Pare-feu FortiGate)</w:t>
      </w:r>
      <w:bookmarkEnd w:id="8"/>
    </w:p>
    <w:p w14:paraId="68BEA2C2" w14:textId="77777777" w:rsidR="0017711C" w:rsidRDefault="00DA10C4">
      <w:pPr>
        <w:pStyle w:val="Titre2"/>
      </w:pPr>
      <w:bookmarkStart w:id="9" w:name="_Toc227736909"/>
      <w:r>
        <w:t>1.1. Contexte et justification</w:t>
      </w:r>
      <w:bookmarkEnd w:id="9"/>
    </w:p>
    <w:p w14:paraId="7476E8C8" w14:textId="4AF0FC35" w:rsidR="0017711C" w:rsidRDefault="00DA10C4">
      <w:pPr>
        <w:spacing w:after="120"/>
        <w:jc w:val="both"/>
      </w:pPr>
      <w:r>
        <w:t xml:space="preserve">Dans le cadre de ses activités, la BVMAC exploite une infrastructure informatique critique reposant sur des systèmes interconnectés nécessitant un haut niveau de sécurité, de disponibilité et de performance. </w:t>
      </w:r>
    </w:p>
    <w:p w14:paraId="10CD279C" w14:textId="77777777" w:rsidR="0017711C" w:rsidRDefault="00DA10C4">
      <w:pPr>
        <w:spacing w:after="120"/>
        <w:jc w:val="both"/>
      </w:pPr>
      <w:r>
        <w:t>Face à la montée des cybermenaces et aux exigences croissantes en matière de sécurité des systèmes d’information, il est impératif de renforcer les compétences internes en cybersécurité, notamment sur l’administration et la sécurisation des équipements Fortinet.</w:t>
      </w:r>
    </w:p>
    <w:p w14:paraId="29755554" w14:textId="77777777" w:rsidR="0017711C" w:rsidRDefault="00DA10C4">
      <w:pPr>
        <w:spacing w:after="120"/>
        <w:jc w:val="both"/>
      </w:pPr>
      <w:r>
        <w:t>Dans ce cadre, la formation NSE 4 de Fortinet constitue un levier stratégique permettant de professionnaliser les équipes techniques et d’assurer une meilleure maîtrise des solutions déployées.</w:t>
      </w:r>
    </w:p>
    <w:p w14:paraId="15574033" w14:textId="77777777" w:rsidR="0017711C" w:rsidRDefault="00DA10C4">
      <w:pPr>
        <w:pStyle w:val="Titre2"/>
      </w:pPr>
      <w:bookmarkStart w:id="10" w:name="_Toc227736910"/>
      <w:r>
        <w:t>1.2. Objectifs du lot</w:t>
      </w:r>
      <w:bookmarkEnd w:id="10"/>
    </w:p>
    <w:p w14:paraId="4F469F58" w14:textId="77777777" w:rsidR="0017711C" w:rsidRDefault="00DA10C4">
      <w:pPr>
        <w:pStyle w:val="Paragraphedeliste"/>
        <w:numPr>
          <w:ilvl w:val="0"/>
          <w:numId w:val="2"/>
        </w:numPr>
        <w:spacing w:after="60"/>
      </w:pPr>
      <w:r>
        <w:t>Renforcer les compétences techniques des équipes dans l’administration des pares-feux FortiGate ;</w:t>
      </w:r>
    </w:p>
    <w:p w14:paraId="635BE35C" w14:textId="77777777" w:rsidR="0017711C" w:rsidRDefault="00DA10C4">
      <w:pPr>
        <w:pStyle w:val="Paragraphedeliste"/>
        <w:numPr>
          <w:ilvl w:val="0"/>
          <w:numId w:val="2"/>
        </w:numPr>
        <w:spacing w:after="60"/>
      </w:pPr>
      <w:r>
        <w:t>Permettre le déploiement et la gestion efficace des équipements Fortinet ;</w:t>
      </w:r>
    </w:p>
    <w:p w14:paraId="572E2BF1" w14:textId="77777777" w:rsidR="0017711C" w:rsidRDefault="00DA10C4">
      <w:pPr>
        <w:pStyle w:val="Paragraphedeliste"/>
        <w:numPr>
          <w:ilvl w:val="0"/>
          <w:numId w:val="2"/>
        </w:numPr>
        <w:spacing w:after="60"/>
      </w:pPr>
      <w:r>
        <w:t>Mettre en œuvre des politiques de sécurité réseau adaptées aux besoins métiers ;</w:t>
      </w:r>
    </w:p>
    <w:p w14:paraId="2158AF7E" w14:textId="77777777" w:rsidR="0017711C" w:rsidRDefault="00DA10C4">
      <w:pPr>
        <w:pStyle w:val="Paragraphedeliste"/>
        <w:numPr>
          <w:ilvl w:val="0"/>
          <w:numId w:val="2"/>
        </w:numPr>
        <w:spacing w:after="60"/>
      </w:pPr>
      <w:r>
        <w:t>Assurer la protection contre les menaces réseau et les cyberattaques ;</w:t>
      </w:r>
    </w:p>
    <w:p w14:paraId="625140AD" w14:textId="77777777" w:rsidR="0017711C" w:rsidRDefault="00DA10C4">
      <w:pPr>
        <w:pStyle w:val="Paragraphedeliste"/>
        <w:numPr>
          <w:ilvl w:val="0"/>
          <w:numId w:val="2"/>
        </w:numPr>
        <w:spacing w:after="60"/>
      </w:pPr>
      <w:r>
        <w:t>Améliorer les capacités de supervision et de réponse aux incidents de sécurité ;</w:t>
      </w:r>
    </w:p>
    <w:p w14:paraId="622B06C3" w14:textId="77777777" w:rsidR="0017711C" w:rsidRDefault="00DA10C4">
      <w:pPr>
        <w:pStyle w:val="Paragraphedeliste"/>
        <w:numPr>
          <w:ilvl w:val="0"/>
          <w:numId w:val="2"/>
        </w:numPr>
        <w:spacing w:after="60"/>
      </w:pPr>
      <w:r>
        <w:t>Optimiser la performance et la disponibilité des infrastructures sécurisées.</w:t>
      </w:r>
    </w:p>
    <w:p w14:paraId="27AF3F7B" w14:textId="77777777" w:rsidR="0017711C" w:rsidRDefault="00DA10C4">
      <w:pPr>
        <w:pStyle w:val="Titre2"/>
      </w:pPr>
      <w:bookmarkStart w:id="11" w:name="_Toc227736911"/>
      <w:r>
        <w:t>1.3. Définition des travaux</w:t>
      </w:r>
      <w:bookmarkEnd w:id="11"/>
    </w:p>
    <w:p w14:paraId="092326F5" w14:textId="77777777" w:rsidR="0017711C" w:rsidRDefault="00DA10C4">
      <w:pPr>
        <w:spacing w:after="120"/>
        <w:jc w:val="both"/>
      </w:pPr>
      <w:r>
        <w:t>Le prestataire retenu devra assurer :</w:t>
      </w:r>
    </w:p>
    <w:p w14:paraId="249A2D3E" w14:textId="77777777" w:rsidR="0017711C" w:rsidRDefault="00DA10C4">
      <w:pPr>
        <w:pStyle w:val="Paragraphedeliste"/>
        <w:numPr>
          <w:ilvl w:val="0"/>
          <w:numId w:val="2"/>
        </w:numPr>
        <w:spacing w:after="60"/>
      </w:pPr>
      <w:r>
        <w:t>La formation officielle Fortinet NSE 4 ;</w:t>
      </w:r>
    </w:p>
    <w:p w14:paraId="49C66BC1" w14:textId="77777777" w:rsidR="0017711C" w:rsidRDefault="00DA10C4">
      <w:pPr>
        <w:pStyle w:val="Paragraphedeliste"/>
        <w:numPr>
          <w:ilvl w:val="0"/>
          <w:numId w:val="2"/>
        </w:numPr>
        <w:spacing w:after="60"/>
      </w:pPr>
      <w:r>
        <w:t>La mise à disposition de supports pédagogiques officiels ;</w:t>
      </w:r>
    </w:p>
    <w:p w14:paraId="5C20A8D9" w14:textId="77777777" w:rsidR="0017711C" w:rsidRDefault="00DA10C4">
      <w:pPr>
        <w:pStyle w:val="Paragraphedeliste"/>
        <w:numPr>
          <w:ilvl w:val="0"/>
          <w:numId w:val="2"/>
        </w:numPr>
        <w:spacing w:after="60"/>
      </w:pPr>
      <w:r>
        <w:t>La réalisation de travaux pratiques (labs) sur équipements ou simulateurs FortiGate ;</w:t>
      </w:r>
    </w:p>
    <w:p w14:paraId="6BFA6F96" w14:textId="77777777" w:rsidR="0017711C" w:rsidRDefault="00DA10C4">
      <w:pPr>
        <w:pStyle w:val="Paragraphedeliste"/>
        <w:numPr>
          <w:ilvl w:val="0"/>
          <w:numId w:val="2"/>
        </w:numPr>
        <w:spacing w:after="60"/>
      </w:pPr>
      <w:r>
        <w:t>L’accompagnement pédagogique des participants ;</w:t>
      </w:r>
    </w:p>
    <w:p w14:paraId="0197B6C5" w14:textId="77777777" w:rsidR="0017711C" w:rsidRDefault="00DA10C4">
      <w:pPr>
        <w:pStyle w:val="Paragraphedeliste"/>
        <w:numPr>
          <w:ilvl w:val="0"/>
          <w:numId w:val="2"/>
        </w:numPr>
        <w:spacing w:after="60"/>
      </w:pPr>
      <w:r>
        <w:t>L’organisation de sessions de mise en pratique et d’évaluation ;</w:t>
      </w:r>
    </w:p>
    <w:p w14:paraId="344B5EFC" w14:textId="77777777" w:rsidR="0017711C" w:rsidRDefault="00DA10C4">
      <w:pPr>
        <w:pStyle w:val="Paragraphedeliste"/>
        <w:numPr>
          <w:ilvl w:val="0"/>
          <w:numId w:val="2"/>
        </w:numPr>
        <w:spacing w:after="60"/>
      </w:pPr>
      <w:r>
        <w:t>L’évaluation des compétences des participants en fin de formation.</w:t>
      </w:r>
    </w:p>
    <w:p w14:paraId="4A87C4F6" w14:textId="77777777" w:rsidR="0017711C" w:rsidRDefault="00DA10C4">
      <w:pPr>
        <w:pStyle w:val="Titre2"/>
      </w:pPr>
      <w:bookmarkStart w:id="12" w:name="_Toc227736912"/>
      <w:r>
        <w:t>1.4. Spécifications techniques</w:t>
      </w:r>
      <w:bookmarkEnd w:id="12"/>
    </w:p>
    <w:p w14:paraId="559BE76C" w14:textId="77777777" w:rsidR="0017711C" w:rsidRDefault="00DA10C4">
      <w:pPr>
        <w:spacing w:after="120"/>
        <w:jc w:val="both"/>
      </w:pPr>
      <w:r>
        <w:t>La formation devra couvrir au minimum les modules suivants :</w:t>
      </w:r>
    </w:p>
    <w:p w14:paraId="5909F87E" w14:textId="77777777" w:rsidR="0017711C" w:rsidRDefault="00DA10C4">
      <w:pPr>
        <w:pStyle w:val="Paragraphedeliste"/>
        <w:numPr>
          <w:ilvl w:val="0"/>
          <w:numId w:val="2"/>
        </w:numPr>
        <w:spacing w:after="60"/>
      </w:pPr>
      <w:r>
        <w:t>Introduction à l’écosystème Fortinet ;</w:t>
      </w:r>
    </w:p>
    <w:p w14:paraId="6E8EE6F1" w14:textId="77777777" w:rsidR="0017711C" w:rsidRDefault="00DA10C4">
      <w:pPr>
        <w:pStyle w:val="Paragraphedeliste"/>
        <w:numPr>
          <w:ilvl w:val="0"/>
          <w:numId w:val="2"/>
        </w:numPr>
        <w:spacing w:after="60"/>
      </w:pPr>
      <w:r>
        <w:t>Configuration initiale des équipements FortiGate ;</w:t>
      </w:r>
    </w:p>
    <w:p w14:paraId="7B3E9E56" w14:textId="77777777" w:rsidR="0017711C" w:rsidRDefault="00DA10C4">
      <w:pPr>
        <w:pStyle w:val="Paragraphedeliste"/>
        <w:numPr>
          <w:ilvl w:val="0"/>
          <w:numId w:val="2"/>
        </w:numPr>
        <w:spacing w:after="60"/>
      </w:pPr>
      <w:r>
        <w:t>Gestion des politiques de sécurité (Firewall policies) ;</w:t>
      </w:r>
    </w:p>
    <w:p w14:paraId="2C4D53F0" w14:textId="77777777" w:rsidR="0017711C" w:rsidRDefault="00DA10C4">
      <w:pPr>
        <w:pStyle w:val="Paragraphedeliste"/>
        <w:numPr>
          <w:ilvl w:val="0"/>
          <w:numId w:val="2"/>
        </w:numPr>
        <w:spacing w:after="60"/>
      </w:pPr>
      <w:r>
        <w:t>NAT, VPN (IPSec &amp; SSL VPN) ;</w:t>
      </w:r>
    </w:p>
    <w:p w14:paraId="2D99DA0F" w14:textId="77777777" w:rsidR="0017711C" w:rsidRDefault="00DA10C4">
      <w:pPr>
        <w:pStyle w:val="Paragraphedeliste"/>
        <w:numPr>
          <w:ilvl w:val="0"/>
          <w:numId w:val="2"/>
        </w:numPr>
        <w:spacing w:after="60"/>
      </w:pPr>
      <w:r>
        <w:t>Gestion des utilisateurs et authentification ;</w:t>
      </w:r>
    </w:p>
    <w:p w14:paraId="024F29F3" w14:textId="7B9F8BDB" w:rsidR="0017711C" w:rsidRDefault="005B049E">
      <w:pPr>
        <w:pStyle w:val="Paragraphedeliste"/>
        <w:numPr>
          <w:ilvl w:val="0"/>
          <w:numId w:val="2"/>
        </w:numPr>
        <w:spacing w:after="60"/>
      </w:pPr>
      <w:r>
        <w:t>lProtection contre les menaces (IPS, Antivirus, Web Filtering) ;</w:t>
      </w:r>
    </w:p>
    <w:p w14:paraId="3209011B" w14:textId="77777777" w:rsidR="0017711C" w:rsidRDefault="00DA10C4">
      <w:pPr>
        <w:pStyle w:val="Paragraphedeliste"/>
        <w:numPr>
          <w:ilvl w:val="0"/>
          <w:numId w:val="2"/>
        </w:numPr>
        <w:spacing w:after="60"/>
      </w:pPr>
      <w:r>
        <w:t>Journalisation et supervision (logs, FortiAnalyzer) ;</w:t>
      </w:r>
    </w:p>
    <w:p w14:paraId="1E7C3AA3" w14:textId="77777777" w:rsidR="0017711C" w:rsidRDefault="00DA10C4">
      <w:pPr>
        <w:pStyle w:val="Paragraphedeliste"/>
        <w:numPr>
          <w:ilvl w:val="0"/>
          <w:numId w:val="2"/>
        </w:numPr>
        <w:spacing w:after="60"/>
      </w:pPr>
      <w:r>
        <w:t>Haute disponibilité (HA) ;</w:t>
      </w:r>
    </w:p>
    <w:p w14:paraId="1EE230D2" w14:textId="77777777" w:rsidR="0017711C" w:rsidRDefault="00DA10C4">
      <w:pPr>
        <w:pStyle w:val="Paragraphedeliste"/>
        <w:numPr>
          <w:ilvl w:val="0"/>
          <w:numId w:val="2"/>
        </w:numPr>
        <w:spacing w:after="60"/>
      </w:pPr>
      <w:r>
        <w:t>Bonnes pratiques de sécurisation réseau.</w:t>
      </w:r>
    </w:p>
    <w:p w14:paraId="6677A534" w14:textId="77777777" w:rsidR="0017711C" w:rsidRDefault="0017711C">
      <w:pPr>
        <w:spacing w:after="120"/>
      </w:pPr>
    </w:p>
    <w:p w14:paraId="1709AF95" w14:textId="0CF21C76" w:rsidR="0017711C" w:rsidRDefault="00DA10C4">
      <w:pPr>
        <w:spacing w:after="120"/>
        <w:jc w:val="both"/>
      </w:pPr>
      <w:r>
        <w:rPr>
          <w:i/>
          <w:iCs/>
        </w:rPr>
        <w:t>Conforme au référentiel officiel NSE 4, animée par des formateurs certifiés Fortinet), accompagnée de supports numériques et/ou physiques.</w:t>
      </w:r>
    </w:p>
    <w:p w14:paraId="69A1ABFC" w14:textId="77777777" w:rsidR="0017711C" w:rsidRDefault="00DA10C4">
      <w:r>
        <w:br w:type="page"/>
      </w:r>
    </w:p>
    <w:p w14:paraId="7A4FDFF9" w14:textId="77777777" w:rsidR="0017711C" w:rsidRDefault="00DA10C4">
      <w:pPr>
        <w:pStyle w:val="Titre1"/>
        <w:pBdr>
          <w:bottom w:val="single" w:sz="6" w:space="4" w:color="2E75B6"/>
        </w:pBdr>
        <w:spacing w:before="480" w:after="300"/>
      </w:pPr>
      <w:bookmarkStart w:id="13" w:name="_Toc227736913"/>
      <w:r>
        <w:t>LOT 2 : Formation ISO 27001 Lead Implementer</w:t>
      </w:r>
      <w:bookmarkEnd w:id="13"/>
    </w:p>
    <w:p w14:paraId="65505634" w14:textId="77777777" w:rsidR="0017711C" w:rsidRDefault="00DA10C4">
      <w:pPr>
        <w:pStyle w:val="Titre2"/>
      </w:pPr>
      <w:bookmarkStart w:id="14" w:name="_Toc227736914"/>
      <w:r>
        <w:t>2.1. Contexte et justification</w:t>
      </w:r>
      <w:bookmarkEnd w:id="14"/>
    </w:p>
    <w:p w14:paraId="560807BE" w14:textId="77777777" w:rsidR="0017711C" w:rsidRDefault="00DA10C4">
      <w:pPr>
        <w:spacing w:after="120"/>
        <w:jc w:val="both"/>
      </w:pPr>
      <w:r>
        <w:t>Dans le cadre de ses missions, la BVMAC exploite un système d’information critique nécessitant un haut niveau de sécurité, de conformité et de gouvernance. Face à l’évolution des cybermenaces, aux exigences réglementaires et aux impératifs de gouvernance des systèmes d’information, la BVMAC souhaite renforcer son dispositif de sécurité à travers la mise en place d’un Système de Management de la Sécurité de l’Information (SMSI) conforme à la norme ISO/IEC 27001.</w:t>
      </w:r>
    </w:p>
    <w:p w14:paraId="0D1DF1B9" w14:textId="77777777" w:rsidR="0017711C" w:rsidRDefault="00DA10C4">
      <w:pPr>
        <w:spacing w:after="120"/>
        <w:jc w:val="both"/>
      </w:pPr>
      <w:r>
        <w:t>Dans cette optique, la formation ISO 27001 Lead Implementer vise à doter les équipes de compétences avancées pour concevoir, déployer, piloter et améliorer un SMSI efficace et conforme aux standards internationaux.</w:t>
      </w:r>
    </w:p>
    <w:p w14:paraId="50CEF6AF" w14:textId="77777777" w:rsidR="0017711C" w:rsidRDefault="00DA10C4">
      <w:pPr>
        <w:pStyle w:val="Titre2"/>
      </w:pPr>
      <w:bookmarkStart w:id="15" w:name="_Toc227736915"/>
      <w:r>
        <w:t>2.2. Objectifs du lot</w:t>
      </w:r>
      <w:bookmarkEnd w:id="15"/>
    </w:p>
    <w:p w14:paraId="2EDA856C" w14:textId="77777777" w:rsidR="0017711C" w:rsidRDefault="00DA10C4">
      <w:pPr>
        <w:pStyle w:val="Paragraphedeliste"/>
        <w:numPr>
          <w:ilvl w:val="0"/>
          <w:numId w:val="2"/>
        </w:numPr>
        <w:spacing w:after="60"/>
      </w:pPr>
      <w:r>
        <w:t>Identifier, évaluer et traiter les risques liés à la sécurité de l’information ;</w:t>
      </w:r>
    </w:p>
    <w:p w14:paraId="103D3EA7" w14:textId="77777777" w:rsidR="0017711C" w:rsidRDefault="00DA10C4">
      <w:pPr>
        <w:pStyle w:val="Paragraphedeliste"/>
        <w:numPr>
          <w:ilvl w:val="0"/>
          <w:numId w:val="2"/>
        </w:numPr>
        <w:spacing w:after="60"/>
      </w:pPr>
      <w:r>
        <w:t>Mettre en œuvre les mesures de sécurité organisationnelles, techniques et opérationnelles ;</w:t>
      </w:r>
    </w:p>
    <w:p w14:paraId="18994BE9" w14:textId="77777777" w:rsidR="0017711C" w:rsidRDefault="00DA10C4">
      <w:pPr>
        <w:pStyle w:val="Paragraphedeliste"/>
        <w:numPr>
          <w:ilvl w:val="0"/>
          <w:numId w:val="2"/>
        </w:numPr>
        <w:spacing w:after="60"/>
      </w:pPr>
      <w:r>
        <w:t>Assurer la conformité aux exigences réglementaires et normatives ;</w:t>
      </w:r>
    </w:p>
    <w:p w14:paraId="4C01E8CF" w14:textId="77777777" w:rsidR="0017711C" w:rsidRDefault="00DA10C4">
      <w:pPr>
        <w:pStyle w:val="Paragraphedeliste"/>
        <w:numPr>
          <w:ilvl w:val="0"/>
          <w:numId w:val="2"/>
        </w:numPr>
        <w:spacing w:after="60"/>
      </w:pPr>
      <w:r>
        <w:t>Renforcer la confidentialité, l’intégrité et la disponibilité des informations ;</w:t>
      </w:r>
    </w:p>
    <w:p w14:paraId="004D2BC3" w14:textId="77777777" w:rsidR="0017711C" w:rsidRDefault="00DA10C4">
      <w:pPr>
        <w:pStyle w:val="Paragraphedeliste"/>
        <w:numPr>
          <w:ilvl w:val="0"/>
          <w:numId w:val="2"/>
        </w:numPr>
        <w:spacing w:after="60"/>
      </w:pPr>
      <w:r>
        <w:t>Mettre en place une démarche d’amélioration continue du SMSI.</w:t>
      </w:r>
    </w:p>
    <w:p w14:paraId="2B949429" w14:textId="77777777" w:rsidR="0017711C" w:rsidRDefault="00DA10C4">
      <w:pPr>
        <w:pStyle w:val="Titre2"/>
      </w:pPr>
      <w:bookmarkStart w:id="16" w:name="_Toc227736916"/>
      <w:r>
        <w:t>2.3. Définition des travaux</w:t>
      </w:r>
      <w:bookmarkEnd w:id="16"/>
    </w:p>
    <w:p w14:paraId="7E04A4D6" w14:textId="77777777" w:rsidR="0017711C" w:rsidRDefault="00DA10C4">
      <w:pPr>
        <w:spacing w:after="120"/>
        <w:jc w:val="both"/>
      </w:pPr>
      <w:r>
        <w:t>Le prestataire retenu devra assurer :</w:t>
      </w:r>
    </w:p>
    <w:p w14:paraId="133499F6" w14:textId="77777777" w:rsidR="0017711C" w:rsidRDefault="00DA10C4">
      <w:pPr>
        <w:pStyle w:val="Paragraphedeliste"/>
        <w:numPr>
          <w:ilvl w:val="0"/>
          <w:numId w:val="2"/>
        </w:numPr>
        <w:spacing w:after="60"/>
      </w:pPr>
      <w:r>
        <w:t>La formation officielle ISO 27001 Lead Implementer ;</w:t>
      </w:r>
    </w:p>
    <w:p w14:paraId="64031B5A" w14:textId="77777777" w:rsidR="0017711C" w:rsidRDefault="00DA10C4">
      <w:pPr>
        <w:pStyle w:val="Paragraphedeliste"/>
        <w:numPr>
          <w:ilvl w:val="0"/>
          <w:numId w:val="2"/>
        </w:numPr>
        <w:spacing w:after="60"/>
      </w:pPr>
      <w:r>
        <w:t>La mise à disposition de supports pédagogiques officiels ;</w:t>
      </w:r>
    </w:p>
    <w:p w14:paraId="663D333F" w14:textId="77777777" w:rsidR="0017711C" w:rsidRDefault="00DA10C4">
      <w:pPr>
        <w:pStyle w:val="Paragraphedeliste"/>
        <w:numPr>
          <w:ilvl w:val="0"/>
          <w:numId w:val="2"/>
        </w:numPr>
        <w:spacing w:after="60"/>
      </w:pPr>
      <w:r>
        <w:t>L’animation de sessions théoriques et pratiques (études de cas, ateliers) ;</w:t>
      </w:r>
    </w:p>
    <w:p w14:paraId="54E3D2C6" w14:textId="77777777" w:rsidR="0017711C" w:rsidRDefault="00DA10C4">
      <w:pPr>
        <w:pStyle w:val="Paragraphedeliste"/>
        <w:numPr>
          <w:ilvl w:val="0"/>
          <w:numId w:val="2"/>
        </w:numPr>
        <w:spacing w:after="60"/>
      </w:pPr>
      <w:r>
        <w:t>L’accompagnement pédagogique des participants ;</w:t>
      </w:r>
    </w:p>
    <w:p w14:paraId="4319DC6F" w14:textId="77777777" w:rsidR="0017711C" w:rsidRDefault="00DA10C4">
      <w:pPr>
        <w:pStyle w:val="Paragraphedeliste"/>
        <w:numPr>
          <w:ilvl w:val="0"/>
          <w:numId w:val="2"/>
        </w:numPr>
        <w:spacing w:after="60"/>
      </w:pPr>
      <w:r>
        <w:t>L’organisation de sessions de mise en pratique et d’évaluation ;</w:t>
      </w:r>
    </w:p>
    <w:p w14:paraId="522A5462" w14:textId="77777777" w:rsidR="0017711C" w:rsidRDefault="00DA10C4">
      <w:pPr>
        <w:pStyle w:val="Paragraphedeliste"/>
        <w:numPr>
          <w:ilvl w:val="0"/>
          <w:numId w:val="2"/>
        </w:numPr>
        <w:spacing w:after="60"/>
      </w:pPr>
      <w:r>
        <w:t>L’évaluation des compétences des participants en fin de formation.</w:t>
      </w:r>
    </w:p>
    <w:p w14:paraId="3CF40712" w14:textId="77777777" w:rsidR="0017711C" w:rsidRDefault="00DA10C4">
      <w:pPr>
        <w:pStyle w:val="Titre2"/>
      </w:pPr>
      <w:bookmarkStart w:id="17" w:name="_Toc227736917"/>
      <w:r>
        <w:t>2.4. Spécifications techniques</w:t>
      </w:r>
      <w:bookmarkEnd w:id="17"/>
    </w:p>
    <w:p w14:paraId="78C024B6" w14:textId="77777777" w:rsidR="0017711C" w:rsidRDefault="00DA10C4">
      <w:pPr>
        <w:spacing w:after="120"/>
        <w:jc w:val="both"/>
      </w:pPr>
      <w:r>
        <w:t>La formation devra couvrir au minimum les modules suivants :</w:t>
      </w:r>
    </w:p>
    <w:p w14:paraId="7E4D5EE3" w14:textId="77777777" w:rsidR="0017711C" w:rsidRDefault="00DA10C4">
      <w:pPr>
        <w:pStyle w:val="Paragraphedeliste"/>
        <w:numPr>
          <w:ilvl w:val="0"/>
          <w:numId w:val="2"/>
        </w:numPr>
        <w:spacing w:after="60"/>
      </w:pPr>
      <w:r>
        <w:t>Introduction à la sécurité de l’information et au SMSI ;</w:t>
      </w:r>
    </w:p>
    <w:p w14:paraId="793E2592" w14:textId="77777777" w:rsidR="0017711C" w:rsidRDefault="00DA10C4">
      <w:pPr>
        <w:pStyle w:val="Paragraphedeliste"/>
        <w:numPr>
          <w:ilvl w:val="0"/>
          <w:numId w:val="2"/>
        </w:numPr>
        <w:spacing w:after="60"/>
      </w:pPr>
      <w:r>
        <w:t>Exigences de la norme ISO/IEC 27001 ;</w:t>
      </w:r>
    </w:p>
    <w:p w14:paraId="60343CA9" w14:textId="77777777" w:rsidR="0017711C" w:rsidRDefault="00DA10C4">
      <w:pPr>
        <w:pStyle w:val="Paragraphedeliste"/>
        <w:numPr>
          <w:ilvl w:val="0"/>
          <w:numId w:val="2"/>
        </w:numPr>
        <w:spacing w:after="60"/>
      </w:pPr>
      <w:r>
        <w:t>Analyse et gestion des risques (méthodologies, traitement des risques) ;</w:t>
      </w:r>
    </w:p>
    <w:p w14:paraId="4F080B84" w14:textId="77777777" w:rsidR="0017711C" w:rsidRDefault="00DA10C4">
      <w:pPr>
        <w:pStyle w:val="Paragraphedeliste"/>
        <w:numPr>
          <w:ilvl w:val="0"/>
          <w:numId w:val="2"/>
        </w:numPr>
        <w:spacing w:after="60"/>
      </w:pPr>
      <w:r>
        <w:t>Élaboration de la politique de sécurité de l’information ;</w:t>
      </w:r>
    </w:p>
    <w:p w14:paraId="02AEA4EB" w14:textId="77777777" w:rsidR="0017711C" w:rsidRDefault="00DA10C4">
      <w:pPr>
        <w:pStyle w:val="Paragraphedeliste"/>
        <w:numPr>
          <w:ilvl w:val="0"/>
          <w:numId w:val="2"/>
        </w:numPr>
        <w:spacing w:after="60"/>
      </w:pPr>
      <w:r>
        <w:t>Mise en œuvre des contrôles de sécurité (Annexe A) ;</w:t>
      </w:r>
    </w:p>
    <w:p w14:paraId="00F9764F" w14:textId="77777777" w:rsidR="0017711C" w:rsidRDefault="00DA10C4">
      <w:pPr>
        <w:pStyle w:val="Paragraphedeliste"/>
        <w:numPr>
          <w:ilvl w:val="0"/>
          <w:numId w:val="2"/>
        </w:numPr>
        <w:spacing w:after="60"/>
      </w:pPr>
      <w:r>
        <w:t>Gestion documentaire du SMSI ;</w:t>
      </w:r>
    </w:p>
    <w:p w14:paraId="7D3C6B3F" w14:textId="77777777" w:rsidR="0017711C" w:rsidRDefault="00DA10C4">
      <w:pPr>
        <w:pStyle w:val="Paragraphedeliste"/>
        <w:numPr>
          <w:ilvl w:val="0"/>
          <w:numId w:val="2"/>
        </w:numPr>
        <w:spacing w:after="60"/>
      </w:pPr>
      <w:r>
        <w:t>Audit interne du SMSI ;</w:t>
      </w:r>
    </w:p>
    <w:p w14:paraId="11EB49B8" w14:textId="77777777" w:rsidR="0017711C" w:rsidRDefault="00DA10C4">
      <w:pPr>
        <w:pStyle w:val="Paragraphedeliste"/>
        <w:numPr>
          <w:ilvl w:val="0"/>
          <w:numId w:val="2"/>
        </w:numPr>
        <w:spacing w:after="60"/>
      </w:pPr>
      <w:r>
        <w:t>Gestion des incidents de sécurité ;</w:t>
      </w:r>
    </w:p>
    <w:p w14:paraId="0A77C5A1" w14:textId="77777777" w:rsidR="0017711C" w:rsidRDefault="00DA10C4">
      <w:pPr>
        <w:pStyle w:val="Paragraphedeliste"/>
        <w:numPr>
          <w:ilvl w:val="0"/>
          <w:numId w:val="2"/>
        </w:numPr>
        <w:spacing w:after="60"/>
      </w:pPr>
      <w:r>
        <w:t>Amélioration continue (cycle PDCA).</w:t>
      </w:r>
    </w:p>
    <w:p w14:paraId="2FE5644A" w14:textId="77777777" w:rsidR="0017711C" w:rsidRDefault="0017711C">
      <w:pPr>
        <w:spacing w:after="120"/>
      </w:pPr>
    </w:p>
    <w:p w14:paraId="0E454A92" w14:textId="4EC99B87" w:rsidR="0017711C" w:rsidRDefault="00DA10C4">
      <w:pPr>
        <w:spacing w:after="120"/>
        <w:jc w:val="both"/>
      </w:pPr>
      <w:r>
        <w:rPr>
          <w:i/>
          <w:iCs/>
        </w:rPr>
        <w:t>Conforme au référentiel officiel ISO 27001 Lead Implementer, animée par des formateurs certifiés, dispensée en français</w:t>
      </w:r>
      <w:r w:rsidR="00D97CAF">
        <w:rPr>
          <w:i/>
          <w:iCs/>
        </w:rPr>
        <w:t xml:space="preserve"> ou </w:t>
      </w:r>
      <w:proofErr w:type="gramStart"/>
      <w:r w:rsidR="00D97CAF">
        <w:rPr>
          <w:i/>
          <w:iCs/>
        </w:rPr>
        <w:t xml:space="preserve">anglais </w:t>
      </w:r>
      <w:r>
        <w:rPr>
          <w:i/>
          <w:iCs/>
        </w:rPr>
        <w:t>,</w:t>
      </w:r>
      <w:proofErr w:type="gramEnd"/>
      <w:r>
        <w:rPr>
          <w:i/>
          <w:iCs/>
        </w:rPr>
        <w:t xml:space="preserve"> accompagnée de supports numériques et/ou physiques, basée sur des cas pratiques concrets.</w:t>
      </w:r>
    </w:p>
    <w:p w14:paraId="11643419" w14:textId="77777777" w:rsidR="001E1405" w:rsidRDefault="001E1405">
      <w:pPr>
        <w:pStyle w:val="Titre1"/>
        <w:pBdr>
          <w:bottom w:val="single" w:sz="6" w:space="4" w:color="2E75B6"/>
        </w:pBdr>
        <w:spacing w:before="480" w:after="300"/>
      </w:pPr>
    </w:p>
    <w:p w14:paraId="2A6F5A9A" w14:textId="5413A9C1" w:rsidR="0017711C" w:rsidRDefault="00DA10C4">
      <w:pPr>
        <w:pStyle w:val="Titre1"/>
        <w:pBdr>
          <w:bottom w:val="single" w:sz="6" w:space="4" w:color="2E75B6"/>
        </w:pBdr>
        <w:spacing w:before="480" w:after="300"/>
      </w:pPr>
      <w:bookmarkStart w:id="18" w:name="_Toc227736918"/>
      <w:r>
        <w:t>LOT 3 : Formation ITIL (Information Technology Infrastructure Library)</w:t>
      </w:r>
      <w:bookmarkEnd w:id="18"/>
    </w:p>
    <w:p w14:paraId="0CF38B08" w14:textId="77777777" w:rsidR="0017711C" w:rsidRDefault="00DA10C4">
      <w:pPr>
        <w:pStyle w:val="Titre2"/>
      </w:pPr>
      <w:bookmarkStart w:id="19" w:name="_Toc227736919"/>
      <w:r>
        <w:t>3.1. Contexte et justification</w:t>
      </w:r>
      <w:bookmarkEnd w:id="19"/>
    </w:p>
    <w:p w14:paraId="76297783" w14:textId="77777777" w:rsidR="0017711C" w:rsidRDefault="00DA10C4">
      <w:pPr>
        <w:spacing w:after="120"/>
        <w:jc w:val="both"/>
      </w:pPr>
      <w:r>
        <w:t>Dans le cadre de ses activités, la BVMAC s’appuie sur un système d’information stratégique dont la performance, la disponibilité et la qualité de service sont essentielles au bon fonctionnement du marché. Dans un environnement marqué par des exigences accrues de performance, de disponibilité et de qualité des services informatiques, la BVMAC souhaite structurer et optimiser la gestion de ses services IT. La mise en œuvre des bonnes pratiques issues du référentiel ITIL constitue un levier majeur pour améliorer l’efficacité opérationnelle de la DSI et renforcer l’alignement entre les services IT et les besoins métiers.</w:t>
      </w:r>
    </w:p>
    <w:p w14:paraId="2FDAD2FA" w14:textId="77777777" w:rsidR="0017711C" w:rsidRDefault="00DA10C4">
      <w:pPr>
        <w:spacing w:after="120"/>
        <w:jc w:val="both"/>
      </w:pPr>
      <w:r>
        <w:t>Dans ce cadre, la formation ITIL permettra de doter les équipes des compétences nécessaires pour concevoir, délivrer, supporter et améliorer en continu les services informatiques.</w:t>
      </w:r>
    </w:p>
    <w:p w14:paraId="78DC9A5B" w14:textId="77777777" w:rsidR="0017711C" w:rsidRDefault="00DA10C4">
      <w:pPr>
        <w:pStyle w:val="Titre2"/>
      </w:pPr>
      <w:bookmarkStart w:id="20" w:name="_Toc227736920"/>
      <w:r>
        <w:t>3.2. Objectifs du lot</w:t>
      </w:r>
      <w:bookmarkEnd w:id="20"/>
    </w:p>
    <w:p w14:paraId="421A9795" w14:textId="77777777" w:rsidR="0017711C" w:rsidRDefault="00DA10C4">
      <w:pPr>
        <w:pStyle w:val="Paragraphedeliste"/>
        <w:numPr>
          <w:ilvl w:val="0"/>
          <w:numId w:val="2"/>
        </w:numPr>
        <w:spacing w:after="60"/>
      </w:pPr>
      <w:r>
        <w:t>Structurer et optimiser les services IT pour répondre efficacement aux exigences métiers ;</w:t>
      </w:r>
    </w:p>
    <w:p w14:paraId="11361928" w14:textId="77777777" w:rsidR="0017711C" w:rsidRDefault="00DA10C4">
      <w:pPr>
        <w:pStyle w:val="Paragraphedeliste"/>
        <w:numPr>
          <w:ilvl w:val="0"/>
          <w:numId w:val="2"/>
        </w:numPr>
        <w:spacing w:after="60"/>
      </w:pPr>
      <w:r>
        <w:t>Améliorer la qualité, la disponibilité et la performance des services informatiques ;</w:t>
      </w:r>
    </w:p>
    <w:p w14:paraId="636FC7D4" w14:textId="77777777" w:rsidR="0017711C" w:rsidRDefault="00DA10C4">
      <w:pPr>
        <w:pStyle w:val="Paragraphedeliste"/>
        <w:numPr>
          <w:ilvl w:val="0"/>
          <w:numId w:val="2"/>
        </w:numPr>
        <w:spacing w:after="60"/>
      </w:pPr>
      <w:r>
        <w:t>Mettre en place une gestion efficace des incidents, problèmes et changements ;</w:t>
      </w:r>
    </w:p>
    <w:p w14:paraId="525207FA" w14:textId="77777777" w:rsidR="0017711C" w:rsidRDefault="00DA10C4">
      <w:pPr>
        <w:pStyle w:val="Paragraphedeliste"/>
        <w:numPr>
          <w:ilvl w:val="0"/>
          <w:numId w:val="2"/>
        </w:numPr>
        <w:spacing w:after="60"/>
      </w:pPr>
      <w:r>
        <w:t>Déployer des processus de suivi et d’amélioration continue basés sur les meilleures pratiques ;</w:t>
      </w:r>
    </w:p>
    <w:p w14:paraId="3008D43E" w14:textId="77777777" w:rsidR="0017711C" w:rsidRDefault="00DA10C4">
      <w:pPr>
        <w:pStyle w:val="Paragraphedeliste"/>
        <w:numPr>
          <w:ilvl w:val="0"/>
          <w:numId w:val="2"/>
        </w:numPr>
        <w:spacing w:after="60"/>
      </w:pPr>
      <w:r>
        <w:t>Renforcer la contribution stratégique de la DSI à la performance globale de la BVMAC ;</w:t>
      </w:r>
    </w:p>
    <w:p w14:paraId="5DC320DE" w14:textId="77777777" w:rsidR="0017711C" w:rsidRDefault="00DA10C4">
      <w:pPr>
        <w:pStyle w:val="Paragraphedeliste"/>
        <w:numPr>
          <w:ilvl w:val="0"/>
          <w:numId w:val="2"/>
        </w:numPr>
        <w:spacing w:after="60"/>
      </w:pPr>
      <w:r>
        <w:t>Améliorer la satisfaction des utilisateurs internes et des parties prenantes.</w:t>
      </w:r>
    </w:p>
    <w:p w14:paraId="21D0D664" w14:textId="77777777" w:rsidR="0017711C" w:rsidRDefault="00DA10C4">
      <w:pPr>
        <w:pStyle w:val="Titre2"/>
      </w:pPr>
      <w:bookmarkStart w:id="21" w:name="_Toc227736921"/>
      <w:r>
        <w:t>3.3. Définition des travaux</w:t>
      </w:r>
      <w:bookmarkEnd w:id="21"/>
    </w:p>
    <w:p w14:paraId="63BD89D3" w14:textId="77777777" w:rsidR="0017711C" w:rsidRDefault="00DA10C4">
      <w:pPr>
        <w:spacing w:after="120"/>
        <w:jc w:val="both"/>
      </w:pPr>
      <w:r>
        <w:t>Le prestataire retenu devra assurer :</w:t>
      </w:r>
    </w:p>
    <w:p w14:paraId="795D5923" w14:textId="77777777" w:rsidR="0017711C" w:rsidRDefault="00DA10C4">
      <w:pPr>
        <w:pStyle w:val="Paragraphedeliste"/>
        <w:numPr>
          <w:ilvl w:val="0"/>
          <w:numId w:val="2"/>
        </w:numPr>
        <w:spacing w:after="60"/>
      </w:pPr>
      <w:r>
        <w:t>La formation ITIL (niveau à préciser : Foundation, Intermediate ou autre) ;</w:t>
      </w:r>
    </w:p>
    <w:p w14:paraId="0D318CBA" w14:textId="77777777" w:rsidR="0017711C" w:rsidRDefault="00DA10C4">
      <w:pPr>
        <w:pStyle w:val="Paragraphedeliste"/>
        <w:numPr>
          <w:ilvl w:val="0"/>
          <w:numId w:val="2"/>
        </w:numPr>
        <w:spacing w:after="60"/>
      </w:pPr>
      <w:r>
        <w:t>La mise à disposition de supports pédagogiques officiels ;</w:t>
      </w:r>
    </w:p>
    <w:p w14:paraId="40F07C89" w14:textId="77777777" w:rsidR="0017711C" w:rsidRDefault="00DA10C4">
      <w:pPr>
        <w:pStyle w:val="Paragraphedeliste"/>
        <w:numPr>
          <w:ilvl w:val="0"/>
          <w:numId w:val="2"/>
        </w:numPr>
        <w:spacing w:after="60"/>
      </w:pPr>
      <w:r>
        <w:t>L’animation de sessions théoriques et pratiques (études de cas, ateliers) ;</w:t>
      </w:r>
    </w:p>
    <w:p w14:paraId="64E659C0" w14:textId="77777777" w:rsidR="0017711C" w:rsidRDefault="00DA10C4">
      <w:pPr>
        <w:pStyle w:val="Paragraphedeliste"/>
        <w:numPr>
          <w:ilvl w:val="0"/>
          <w:numId w:val="2"/>
        </w:numPr>
        <w:spacing w:after="60"/>
      </w:pPr>
      <w:r>
        <w:t>L’accompagnement pédagogique des participants ;</w:t>
      </w:r>
    </w:p>
    <w:p w14:paraId="740E0D9D" w14:textId="77777777" w:rsidR="0017711C" w:rsidRDefault="00DA10C4">
      <w:pPr>
        <w:pStyle w:val="Paragraphedeliste"/>
        <w:numPr>
          <w:ilvl w:val="0"/>
          <w:numId w:val="2"/>
        </w:numPr>
        <w:spacing w:after="60"/>
      </w:pPr>
      <w:r>
        <w:t>L’organisation de sessions de mise en pratique et d’évaluation ;</w:t>
      </w:r>
    </w:p>
    <w:p w14:paraId="5A2D2B55" w14:textId="77777777" w:rsidR="0017711C" w:rsidRDefault="00DA10C4">
      <w:pPr>
        <w:pStyle w:val="Paragraphedeliste"/>
        <w:numPr>
          <w:ilvl w:val="0"/>
          <w:numId w:val="2"/>
        </w:numPr>
        <w:spacing w:after="60"/>
      </w:pPr>
      <w:r>
        <w:t>L’évaluation des compétences des participants en fin de formation.</w:t>
      </w:r>
    </w:p>
    <w:p w14:paraId="11E439EB" w14:textId="77777777" w:rsidR="0017711C" w:rsidRDefault="00DA10C4">
      <w:pPr>
        <w:pStyle w:val="Titre2"/>
      </w:pPr>
      <w:bookmarkStart w:id="22" w:name="_Toc227736922"/>
      <w:r>
        <w:t>3.4. Spécifications techniques</w:t>
      </w:r>
      <w:bookmarkEnd w:id="22"/>
    </w:p>
    <w:p w14:paraId="7B8E9E45" w14:textId="77777777" w:rsidR="0017711C" w:rsidRDefault="00DA10C4">
      <w:pPr>
        <w:spacing w:after="120"/>
        <w:jc w:val="both"/>
      </w:pPr>
      <w:r>
        <w:t>La formation devra couvrir au minimum les modules suivants :</w:t>
      </w:r>
    </w:p>
    <w:p w14:paraId="295ABC39" w14:textId="77777777" w:rsidR="0017711C" w:rsidRDefault="00DA10C4">
      <w:pPr>
        <w:pStyle w:val="Paragraphedeliste"/>
        <w:numPr>
          <w:ilvl w:val="0"/>
          <w:numId w:val="2"/>
        </w:numPr>
        <w:spacing w:after="60"/>
      </w:pPr>
      <w:r>
        <w:t>Introduction au référentiel ITIL ;</w:t>
      </w:r>
    </w:p>
    <w:p w14:paraId="18F393A0" w14:textId="77777777" w:rsidR="0017711C" w:rsidRDefault="00DA10C4">
      <w:pPr>
        <w:pStyle w:val="Paragraphedeliste"/>
        <w:numPr>
          <w:ilvl w:val="0"/>
          <w:numId w:val="2"/>
        </w:numPr>
        <w:spacing w:after="60"/>
      </w:pPr>
      <w:r>
        <w:t>Concepts clés de la gestion des services IT (ITSM) ;</w:t>
      </w:r>
    </w:p>
    <w:p w14:paraId="53732E73" w14:textId="77777777" w:rsidR="0017711C" w:rsidRDefault="00DA10C4">
      <w:pPr>
        <w:pStyle w:val="Paragraphedeliste"/>
        <w:numPr>
          <w:ilvl w:val="0"/>
          <w:numId w:val="2"/>
        </w:numPr>
        <w:spacing w:after="60"/>
      </w:pPr>
      <w:r>
        <w:t>Cycle de vie des services (ou chaîne de valeur des services ITIL 4) ;</w:t>
      </w:r>
    </w:p>
    <w:p w14:paraId="04C9DD01" w14:textId="77777777" w:rsidR="0017711C" w:rsidRDefault="00DA10C4">
      <w:pPr>
        <w:pStyle w:val="Paragraphedeliste"/>
        <w:numPr>
          <w:ilvl w:val="0"/>
          <w:numId w:val="2"/>
        </w:numPr>
        <w:spacing w:after="60"/>
      </w:pPr>
      <w:r>
        <w:t>Gestion des incidents, problèmes et changements ;</w:t>
      </w:r>
    </w:p>
    <w:p w14:paraId="4F302011" w14:textId="77777777" w:rsidR="0017711C" w:rsidRDefault="00DA10C4">
      <w:pPr>
        <w:pStyle w:val="Paragraphedeliste"/>
        <w:numPr>
          <w:ilvl w:val="0"/>
          <w:numId w:val="2"/>
        </w:numPr>
        <w:spacing w:after="60"/>
      </w:pPr>
      <w:r>
        <w:t>Gestion des niveaux de service (SLA) ;</w:t>
      </w:r>
    </w:p>
    <w:p w14:paraId="044B0891" w14:textId="77777777" w:rsidR="0017711C" w:rsidRDefault="00DA10C4">
      <w:pPr>
        <w:pStyle w:val="Paragraphedeliste"/>
        <w:numPr>
          <w:ilvl w:val="0"/>
          <w:numId w:val="2"/>
        </w:numPr>
        <w:spacing w:after="60"/>
      </w:pPr>
      <w:r>
        <w:t>Amélioration continue des services ;</w:t>
      </w:r>
    </w:p>
    <w:p w14:paraId="4D9454BA" w14:textId="77777777" w:rsidR="0017711C" w:rsidRDefault="00DA10C4">
      <w:pPr>
        <w:pStyle w:val="Paragraphedeliste"/>
        <w:numPr>
          <w:ilvl w:val="0"/>
          <w:numId w:val="2"/>
        </w:numPr>
        <w:spacing w:after="60"/>
      </w:pPr>
      <w:r>
        <w:t>Gestion des demandes de service ;</w:t>
      </w:r>
    </w:p>
    <w:p w14:paraId="4E834A4C" w14:textId="77777777" w:rsidR="0017711C" w:rsidRDefault="00DA10C4">
      <w:pPr>
        <w:pStyle w:val="Paragraphedeliste"/>
        <w:numPr>
          <w:ilvl w:val="0"/>
          <w:numId w:val="2"/>
        </w:numPr>
        <w:spacing w:after="60"/>
      </w:pPr>
      <w:r>
        <w:t>Bonnes pratiques de gouvernance IT.</w:t>
      </w:r>
    </w:p>
    <w:p w14:paraId="1DC62093" w14:textId="77777777" w:rsidR="0017711C" w:rsidRDefault="0017711C">
      <w:pPr>
        <w:spacing w:after="120"/>
      </w:pPr>
    </w:p>
    <w:p w14:paraId="54DC6E82" w14:textId="05F8FD6F" w:rsidR="0017711C" w:rsidRDefault="00DA10C4">
      <w:pPr>
        <w:spacing w:after="120"/>
        <w:jc w:val="both"/>
      </w:pPr>
      <w:r>
        <w:rPr>
          <w:i/>
          <w:iCs/>
        </w:rPr>
        <w:t>Conforme au référentiel officiel ITIL, animée par des formateurs certifiés ITIL, dispensée en français</w:t>
      </w:r>
      <w:r w:rsidR="00313C41">
        <w:rPr>
          <w:i/>
          <w:iCs/>
        </w:rPr>
        <w:t xml:space="preserve"> ou anglais</w:t>
      </w:r>
      <w:r>
        <w:rPr>
          <w:i/>
          <w:iCs/>
        </w:rPr>
        <w:t>, illustrée par des cas pratiques concrets.</w:t>
      </w:r>
    </w:p>
    <w:p w14:paraId="27885987" w14:textId="77777777" w:rsidR="0017711C" w:rsidRDefault="00DA10C4">
      <w:r>
        <w:br w:type="page"/>
      </w:r>
    </w:p>
    <w:p w14:paraId="34DF63E4" w14:textId="77777777" w:rsidR="0017711C" w:rsidRDefault="00DA10C4">
      <w:pPr>
        <w:pStyle w:val="Titre1"/>
        <w:pBdr>
          <w:bottom w:val="single" w:sz="6" w:space="4" w:color="2E75B6"/>
        </w:pBdr>
        <w:spacing w:before="480" w:after="300"/>
      </w:pPr>
      <w:bookmarkStart w:id="23" w:name="_Toc227736923"/>
      <w:r>
        <w:t>LOT 4 : Formation PMP (Project Management Professional)</w:t>
      </w:r>
      <w:bookmarkEnd w:id="23"/>
    </w:p>
    <w:p w14:paraId="7907DF1E" w14:textId="77777777" w:rsidR="0017711C" w:rsidRDefault="00DA10C4">
      <w:pPr>
        <w:pStyle w:val="Titre2"/>
      </w:pPr>
      <w:bookmarkStart w:id="24" w:name="_Toc227736924"/>
      <w:r>
        <w:t>4.1. Contexte et justification</w:t>
      </w:r>
      <w:bookmarkEnd w:id="24"/>
    </w:p>
    <w:p w14:paraId="3E077211" w14:textId="77777777" w:rsidR="0017711C" w:rsidRDefault="00DA10C4">
      <w:pPr>
        <w:spacing w:after="120"/>
        <w:jc w:val="both"/>
      </w:pPr>
      <w:r>
        <w:t>Dans le cadre de ses missions, la BVMAC conduit plusieurs projets stratégiques, notamment dans le domaine des systèmes d’information, nécessitant une gestion rigoureuse et structurée. La Direction des Systèmes d’Information (DSI) de la BVMAC est engagée dans la mise en œuvre de projets informatiques structurants. Toutefois, la complexité croissante des projets, les contraintes de délais, de coûts et de qualité exigent l’adoption de standards internationaux en gestion de projet.</w:t>
      </w:r>
    </w:p>
    <w:p w14:paraId="3EAFCCDE" w14:textId="77777777" w:rsidR="0017711C" w:rsidRDefault="00DA10C4">
      <w:pPr>
        <w:spacing w:after="120"/>
        <w:jc w:val="both"/>
      </w:pPr>
      <w:r>
        <w:t>Dans ce cadre, la formation PMP du Project Management Institute constitue une référence mondiale permettant de professionnaliser les pratiques de gestion de projet.</w:t>
      </w:r>
    </w:p>
    <w:p w14:paraId="7953408E" w14:textId="77777777" w:rsidR="0017711C" w:rsidRDefault="00DA10C4">
      <w:pPr>
        <w:pStyle w:val="Titre2"/>
      </w:pPr>
      <w:bookmarkStart w:id="25" w:name="_Toc227736925"/>
      <w:r>
        <w:t>4.2. Objectifs du lot</w:t>
      </w:r>
      <w:bookmarkEnd w:id="25"/>
    </w:p>
    <w:p w14:paraId="09E0749C" w14:textId="77777777" w:rsidR="0017711C" w:rsidRDefault="00DA10C4">
      <w:pPr>
        <w:pStyle w:val="Paragraphedeliste"/>
        <w:numPr>
          <w:ilvl w:val="0"/>
          <w:numId w:val="2"/>
        </w:numPr>
        <w:spacing w:after="60"/>
      </w:pPr>
      <w:r>
        <w:t>Structurer et planifier les projets en alignement avec la stratégie de l’entreprise ;</w:t>
      </w:r>
    </w:p>
    <w:p w14:paraId="02E6433E" w14:textId="77777777" w:rsidR="0017711C" w:rsidRDefault="00DA10C4">
      <w:pPr>
        <w:pStyle w:val="Paragraphedeliste"/>
        <w:numPr>
          <w:ilvl w:val="0"/>
          <w:numId w:val="2"/>
        </w:numPr>
        <w:spacing w:after="60"/>
      </w:pPr>
      <w:r>
        <w:t>Améliorer la gestion des ressources, des délais et des budgets ;</w:t>
      </w:r>
    </w:p>
    <w:p w14:paraId="56AE4856" w14:textId="77777777" w:rsidR="0017711C" w:rsidRDefault="00DA10C4">
      <w:pPr>
        <w:pStyle w:val="Paragraphedeliste"/>
        <w:numPr>
          <w:ilvl w:val="0"/>
          <w:numId w:val="2"/>
        </w:numPr>
        <w:spacing w:after="60"/>
      </w:pPr>
      <w:r>
        <w:t>Renforcer la maîtrise des risques liés aux projets ;</w:t>
      </w:r>
    </w:p>
    <w:p w14:paraId="7719E887" w14:textId="77777777" w:rsidR="0017711C" w:rsidRDefault="00DA10C4">
      <w:pPr>
        <w:pStyle w:val="Paragraphedeliste"/>
        <w:numPr>
          <w:ilvl w:val="0"/>
          <w:numId w:val="2"/>
        </w:numPr>
        <w:spacing w:after="60"/>
      </w:pPr>
      <w:r>
        <w:t>Améliorer la qualité des livrables et la performance des projets IT ;</w:t>
      </w:r>
    </w:p>
    <w:p w14:paraId="37FA795B" w14:textId="77777777" w:rsidR="0017711C" w:rsidRDefault="00DA10C4">
      <w:pPr>
        <w:pStyle w:val="Paragraphedeliste"/>
        <w:numPr>
          <w:ilvl w:val="0"/>
          <w:numId w:val="2"/>
        </w:numPr>
        <w:spacing w:after="60"/>
      </w:pPr>
      <w:r>
        <w:t>Mettre en œuvre des méthodologies reconnues de gestion de projet ;</w:t>
      </w:r>
    </w:p>
    <w:p w14:paraId="1F0E6AB5" w14:textId="77777777" w:rsidR="0017711C" w:rsidRDefault="00DA10C4">
      <w:pPr>
        <w:pStyle w:val="Paragraphedeliste"/>
        <w:numPr>
          <w:ilvl w:val="0"/>
          <w:numId w:val="2"/>
        </w:numPr>
        <w:spacing w:after="60"/>
      </w:pPr>
      <w:r>
        <w:t>Renforcer les capacités de pilotage et de prise de décision.</w:t>
      </w:r>
    </w:p>
    <w:p w14:paraId="072062A5" w14:textId="77777777" w:rsidR="0017711C" w:rsidRDefault="00DA10C4">
      <w:pPr>
        <w:pStyle w:val="Titre2"/>
      </w:pPr>
      <w:bookmarkStart w:id="26" w:name="_Toc227736926"/>
      <w:r>
        <w:t>4.3. Définition des travaux</w:t>
      </w:r>
      <w:bookmarkEnd w:id="26"/>
    </w:p>
    <w:p w14:paraId="007512F6" w14:textId="77777777" w:rsidR="0017711C" w:rsidRDefault="00DA10C4">
      <w:pPr>
        <w:spacing w:after="120"/>
        <w:jc w:val="both"/>
      </w:pPr>
      <w:r>
        <w:t>Le prestataire retenu devra assurer :</w:t>
      </w:r>
    </w:p>
    <w:p w14:paraId="266511A1" w14:textId="77777777" w:rsidR="0017711C" w:rsidRDefault="00DA10C4">
      <w:pPr>
        <w:pStyle w:val="Paragraphedeliste"/>
        <w:numPr>
          <w:ilvl w:val="0"/>
          <w:numId w:val="2"/>
        </w:numPr>
        <w:spacing w:after="60"/>
      </w:pPr>
      <w:r>
        <w:t>La formation PMP ;</w:t>
      </w:r>
    </w:p>
    <w:p w14:paraId="0E62120D" w14:textId="77777777" w:rsidR="0017711C" w:rsidRDefault="00DA10C4">
      <w:pPr>
        <w:pStyle w:val="Paragraphedeliste"/>
        <w:numPr>
          <w:ilvl w:val="0"/>
          <w:numId w:val="2"/>
        </w:numPr>
        <w:spacing w:after="60"/>
      </w:pPr>
      <w:r>
        <w:t>La mise à disposition de supports pédagogiques conformes au référentiel PMI ;</w:t>
      </w:r>
    </w:p>
    <w:p w14:paraId="635B436A" w14:textId="77777777" w:rsidR="0017711C" w:rsidRDefault="00DA10C4">
      <w:pPr>
        <w:pStyle w:val="Paragraphedeliste"/>
        <w:numPr>
          <w:ilvl w:val="0"/>
          <w:numId w:val="2"/>
        </w:numPr>
        <w:spacing w:after="60"/>
      </w:pPr>
      <w:r>
        <w:t>L’animation de sessions théoriques et pratiques ;</w:t>
      </w:r>
    </w:p>
    <w:p w14:paraId="3F363507" w14:textId="77777777" w:rsidR="0017711C" w:rsidRDefault="00DA10C4">
      <w:pPr>
        <w:pStyle w:val="Paragraphedeliste"/>
        <w:numPr>
          <w:ilvl w:val="0"/>
          <w:numId w:val="2"/>
        </w:numPr>
        <w:spacing w:after="60"/>
      </w:pPr>
      <w:r>
        <w:t>Des études de cas basées sur des projets réels ;</w:t>
      </w:r>
    </w:p>
    <w:p w14:paraId="1D9D24E9" w14:textId="77777777" w:rsidR="0017711C" w:rsidRDefault="00DA10C4">
      <w:pPr>
        <w:pStyle w:val="Paragraphedeliste"/>
        <w:numPr>
          <w:ilvl w:val="0"/>
          <w:numId w:val="2"/>
        </w:numPr>
        <w:spacing w:after="60"/>
      </w:pPr>
      <w:r>
        <w:t>La préparation intensive aux évaluations PMP ;</w:t>
      </w:r>
    </w:p>
    <w:p w14:paraId="309DD08B" w14:textId="77777777" w:rsidR="0017711C" w:rsidRDefault="00DA10C4">
      <w:pPr>
        <w:pStyle w:val="Paragraphedeliste"/>
        <w:numPr>
          <w:ilvl w:val="0"/>
          <w:numId w:val="2"/>
        </w:numPr>
        <w:spacing w:after="60"/>
      </w:pPr>
      <w:r>
        <w:t>L’organisation de sessions de mise en pratique et d’évaluation.</w:t>
      </w:r>
    </w:p>
    <w:p w14:paraId="31562C6E" w14:textId="77777777" w:rsidR="0017711C" w:rsidRDefault="00DA10C4">
      <w:pPr>
        <w:pStyle w:val="Titre2"/>
      </w:pPr>
      <w:bookmarkStart w:id="27" w:name="_Toc227736927"/>
      <w:r>
        <w:t>4.4. Spécifications techniques</w:t>
      </w:r>
      <w:bookmarkEnd w:id="27"/>
    </w:p>
    <w:p w14:paraId="51F339D2" w14:textId="77777777" w:rsidR="0017711C" w:rsidRDefault="00DA10C4">
      <w:pPr>
        <w:spacing w:after="120"/>
        <w:jc w:val="both"/>
      </w:pPr>
      <w:r>
        <w:t>La formation devra couvrir au minimum les modules suivants :</w:t>
      </w:r>
    </w:p>
    <w:p w14:paraId="7AFE2087" w14:textId="77777777" w:rsidR="0017711C" w:rsidRDefault="00DA10C4">
      <w:pPr>
        <w:pStyle w:val="Paragraphedeliste"/>
        <w:numPr>
          <w:ilvl w:val="0"/>
          <w:numId w:val="2"/>
        </w:numPr>
        <w:spacing w:after="60"/>
      </w:pPr>
      <w:r>
        <w:t>Introduction aux standards du Project Management Institute ;</w:t>
      </w:r>
    </w:p>
    <w:p w14:paraId="0232C2D3" w14:textId="77777777" w:rsidR="0017711C" w:rsidRDefault="00DA10C4">
      <w:pPr>
        <w:pStyle w:val="Paragraphedeliste"/>
        <w:numPr>
          <w:ilvl w:val="0"/>
          <w:numId w:val="2"/>
        </w:numPr>
        <w:spacing w:after="60"/>
      </w:pPr>
      <w:r>
        <w:t>Cadre de gestion de projet (PMBOK) ;</w:t>
      </w:r>
    </w:p>
    <w:p w14:paraId="7068BBCB" w14:textId="77777777" w:rsidR="0017711C" w:rsidRDefault="00DA10C4">
      <w:pPr>
        <w:pStyle w:val="Paragraphedeliste"/>
        <w:numPr>
          <w:ilvl w:val="0"/>
          <w:numId w:val="2"/>
        </w:numPr>
        <w:spacing w:after="60"/>
      </w:pPr>
      <w:r>
        <w:t>Gestion de l’intégration du projet ;</w:t>
      </w:r>
    </w:p>
    <w:p w14:paraId="7CF93BDA" w14:textId="77777777" w:rsidR="0017711C" w:rsidRDefault="00DA10C4">
      <w:pPr>
        <w:pStyle w:val="Paragraphedeliste"/>
        <w:numPr>
          <w:ilvl w:val="0"/>
          <w:numId w:val="2"/>
        </w:numPr>
        <w:spacing w:after="60"/>
      </w:pPr>
      <w:r>
        <w:t>Gestion du périmètre (scope) ;</w:t>
      </w:r>
    </w:p>
    <w:p w14:paraId="007A1AB4" w14:textId="77777777" w:rsidR="0017711C" w:rsidRDefault="00DA10C4">
      <w:pPr>
        <w:pStyle w:val="Paragraphedeliste"/>
        <w:numPr>
          <w:ilvl w:val="0"/>
          <w:numId w:val="2"/>
        </w:numPr>
        <w:spacing w:after="60"/>
      </w:pPr>
      <w:r>
        <w:t>Gestion des délais (planning) ;</w:t>
      </w:r>
    </w:p>
    <w:p w14:paraId="675F0C48" w14:textId="77777777" w:rsidR="0017711C" w:rsidRDefault="00DA10C4">
      <w:pPr>
        <w:pStyle w:val="Paragraphedeliste"/>
        <w:numPr>
          <w:ilvl w:val="0"/>
          <w:numId w:val="2"/>
        </w:numPr>
        <w:spacing w:after="60"/>
      </w:pPr>
      <w:r>
        <w:t>Gestion des coûts ;</w:t>
      </w:r>
    </w:p>
    <w:p w14:paraId="44671C65" w14:textId="77777777" w:rsidR="0017711C" w:rsidRDefault="00DA10C4">
      <w:pPr>
        <w:pStyle w:val="Paragraphedeliste"/>
        <w:numPr>
          <w:ilvl w:val="0"/>
          <w:numId w:val="2"/>
        </w:numPr>
        <w:spacing w:after="60"/>
      </w:pPr>
      <w:r>
        <w:t>Gestion des risques ;</w:t>
      </w:r>
    </w:p>
    <w:p w14:paraId="42B925C2" w14:textId="77777777" w:rsidR="0017711C" w:rsidRDefault="00DA10C4">
      <w:pPr>
        <w:pStyle w:val="Paragraphedeliste"/>
        <w:numPr>
          <w:ilvl w:val="0"/>
          <w:numId w:val="2"/>
        </w:numPr>
        <w:spacing w:after="60"/>
      </w:pPr>
      <w:r>
        <w:t>Gestion de la qualité ;</w:t>
      </w:r>
    </w:p>
    <w:p w14:paraId="53EA5FDD" w14:textId="77777777" w:rsidR="0017711C" w:rsidRDefault="00DA10C4">
      <w:pPr>
        <w:pStyle w:val="Paragraphedeliste"/>
        <w:numPr>
          <w:ilvl w:val="0"/>
          <w:numId w:val="2"/>
        </w:numPr>
        <w:spacing w:after="60"/>
      </w:pPr>
      <w:r>
        <w:t>Gestion des parties prenantes ;</w:t>
      </w:r>
    </w:p>
    <w:p w14:paraId="616C79B3" w14:textId="77777777" w:rsidR="0017711C" w:rsidRDefault="00DA10C4">
      <w:pPr>
        <w:pStyle w:val="Paragraphedeliste"/>
        <w:numPr>
          <w:ilvl w:val="0"/>
          <w:numId w:val="2"/>
        </w:numPr>
        <w:spacing w:after="60"/>
      </w:pPr>
      <w:r>
        <w:t>Méthodes agiles et hybrides (si incluses dans le référentiel) ;</w:t>
      </w:r>
    </w:p>
    <w:p w14:paraId="1985AEC2" w14:textId="77777777" w:rsidR="0017711C" w:rsidRDefault="00DA10C4">
      <w:pPr>
        <w:pStyle w:val="Paragraphedeliste"/>
        <w:numPr>
          <w:ilvl w:val="0"/>
          <w:numId w:val="2"/>
        </w:numPr>
        <w:spacing w:after="60"/>
      </w:pPr>
      <w:r>
        <w:t>Techniques de suivi et de pilotage de projet.</w:t>
      </w:r>
    </w:p>
    <w:p w14:paraId="388DFD14" w14:textId="77777777" w:rsidR="0017711C" w:rsidRDefault="0017711C">
      <w:pPr>
        <w:spacing w:after="120"/>
      </w:pPr>
    </w:p>
    <w:p w14:paraId="3A32AF60" w14:textId="543C23D1" w:rsidR="0017711C" w:rsidRDefault="00DA10C4">
      <w:pPr>
        <w:spacing w:after="120"/>
        <w:jc w:val="both"/>
      </w:pPr>
      <w:r>
        <w:rPr>
          <w:i/>
          <w:iCs/>
        </w:rPr>
        <w:t>Conforme au référentiel officiel PMP, animée par des formateurs certifiés PMP, dispensée en français</w:t>
      </w:r>
      <w:r w:rsidR="00BB18E8">
        <w:rPr>
          <w:i/>
          <w:iCs/>
        </w:rPr>
        <w:t>e et anglais</w:t>
      </w:r>
      <w:r>
        <w:rPr>
          <w:i/>
          <w:iCs/>
        </w:rPr>
        <w:t>, illustrée par des cas pratiques concrets.</w:t>
      </w:r>
    </w:p>
    <w:p w14:paraId="457EB7D0" w14:textId="77777777" w:rsidR="0017711C" w:rsidRDefault="00DA10C4">
      <w:r>
        <w:br w:type="page"/>
      </w:r>
    </w:p>
    <w:p w14:paraId="295E7A69" w14:textId="77777777" w:rsidR="0017711C" w:rsidRDefault="00DA10C4">
      <w:pPr>
        <w:pStyle w:val="Titre1"/>
        <w:pBdr>
          <w:bottom w:val="single" w:sz="6" w:space="4" w:color="2E75B6"/>
        </w:pBdr>
        <w:spacing w:before="480" w:after="300"/>
      </w:pPr>
      <w:bookmarkStart w:id="28" w:name="_Toc227736928"/>
      <w:r>
        <w:t>LOT 5 : Formation CEH v13 (Certified Ethical Hacker)</w:t>
      </w:r>
      <w:bookmarkEnd w:id="28"/>
    </w:p>
    <w:p w14:paraId="288ACB70" w14:textId="77777777" w:rsidR="0017711C" w:rsidRDefault="00DA10C4">
      <w:pPr>
        <w:pStyle w:val="Titre2"/>
      </w:pPr>
      <w:bookmarkStart w:id="29" w:name="_Toc227736929"/>
      <w:r>
        <w:t>5.1. Contexte et justification</w:t>
      </w:r>
      <w:bookmarkEnd w:id="29"/>
    </w:p>
    <w:p w14:paraId="6FAB517D" w14:textId="77777777" w:rsidR="0017711C" w:rsidRDefault="00DA10C4">
      <w:pPr>
        <w:spacing w:after="120"/>
        <w:jc w:val="both"/>
      </w:pPr>
      <w:r>
        <w:t>La formation CEH v13 vise à doter la DSI de compétences avancées en cybersécurité offensive, permettant d’identifier, d’analyser et d’anticiper les vulnérabilités des systèmes d’information avant qu’elles ne soient exploitées par des acteurs malveillants.</w:t>
      </w:r>
    </w:p>
    <w:p w14:paraId="1A622565" w14:textId="77777777" w:rsidR="0017711C" w:rsidRDefault="00DA10C4">
      <w:pPr>
        <w:spacing w:after="120"/>
        <w:jc w:val="both"/>
      </w:pPr>
      <w:r>
        <w:t>Dans un contexte DSI et gouvernance de la sécurité, la formation CEH v13 constitue un levier stratégique de renforcement de la posture de cybersécurité, en complétant les approches normatives (ISO 27001/27005) par une vision opérationnelle et proactive des menaces.</w:t>
      </w:r>
    </w:p>
    <w:p w14:paraId="42414645" w14:textId="77777777" w:rsidR="0017711C" w:rsidRDefault="00DA10C4">
      <w:pPr>
        <w:pStyle w:val="Titre2"/>
      </w:pPr>
      <w:bookmarkStart w:id="30" w:name="_Toc227736930"/>
      <w:r>
        <w:t>5.2. Objectifs du lot</w:t>
      </w:r>
      <w:bookmarkEnd w:id="30"/>
    </w:p>
    <w:p w14:paraId="5D318FD8" w14:textId="77777777" w:rsidR="0017711C" w:rsidRDefault="00DA10C4">
      <w:pPr>
        <w:pStyle w:val="Paragraphedeliste"/>
        <w:numPr>
          <w:ilvl w:val="0"/>
          <w:numId w:val="2"/>
        </w:numPr>
        <w:spacing w:after="60"/>
      </w:pPr>
      <w:r>
        <w:t>Comprendre les techniques, outils et méthodes utilisés lors des cyberattaques ;</w:t>
      </w:r>
    </w:p>
    <w:p w14:paraId="516835F2" w14:textId="77777777" w:rsidR="0017711C" w:rsidRDefault="00DA10C4">
      <w:pPr>
        <w:pStyle w:val="Paragraphedeliste"/>
        <w:numPr>
          <w:ilvl w:val="0"/>
          <w:numId w:val="2"/>
        </w:numPr>
        <w:spacing w:after="60"/>
      </w:pPr>
      <w:r>
        <w:t>Réaliser des tests d’intrusion et évaluations de vulnérabilités dans un cadre maîtrisé ;</w:t>
      </w:r>
    </w:p>
    <w:p w14:paraId="25EA7502" w14:textId="77777777" w:rsidR="0017711C" w:rsidRDefault="00DA10C4">
      <w:pPr>
        <w:pStyle w:val="Paragraphedeliste"/>
        <w:numPr>
          <w:ilvl w:val="0"/>
          <w:numId w:val="2"/>
        </w:numPr>
        <w:spacing w:after="60"/>
      </w:pPr>
      <w:r>
        <w:t>Renforcer la détection des failles de sécurité sur les infrastructures, applications et réseaux ;</w:t>
      </w:r>
    </w:p>
    <w:p w14:paraId="2E979D60" w14:textId="77777777" w:rsidR="0017711C" w:rsidRDefault="00DA10C4">
      <w:pPr>
        <w:pStyle w:val="Paragraphedeliste"/>
        <w:numPr>
          <w:ilvl w:val="0"/>
          <w:numId w:val="2"/>
        </w:numPr>
        <w:spacing w:after="60"/>
      </w:pPr>
      <w:r>
        <w:t>Améliorer la capacité de prévention et de réponse aux incidents ;</w:t>
      </w:r>
    </w:p>
    <w:p w14:paraId="097D48F1" w14:textId="77777777" w:rsidR="0017711C" w:rsidRDefault="00DA10C4">
      <w:pPr>
        <w:pStyle w:val="Paragraphedeliste"/>
        <w:numPr>
          <w:ilvl w:val="0"/>
          <w:numId w:val="2"/>
        </w:numPr>
        <w:spacing w:after="60"/>
      </w:pPr>
      <w:r>
        <w:t>Appuyer les audits de sécurité et les démarches de conformité.</w:t>
      </w:r>
    </w:p>
    <w:p w14:paraId="2663E998" w14:textId="77777777" w:rsidR="0017711C" w:rsidRDefault="00DA10C4">
      <w:pPr>
        <w:pStyle w:val="Titre2"/>
      </w:pPr>
      <w:bookmarkStart w:id="31" w:name="_Toc227736931"/>
      <w:r>
        <w:t>5.3. Définition des travaux</w:t>
      </w:r>
      <w:bookmarkEnd w:id="31"/>
    </w:p>
    <w:p w14:paraId="62052DDB" w14:textId="77777777" w:rsidR="0017711C" w:rsidRDefault="00DA10C4">
      <w:pPr>
        <w:spacing w:after="120"/>
        <w:jc w:val="both"/>
      </w:pPr>
      <w:r>
        <w:t>Le prestataire retenu devra assurer :</w:t>
      </w:r>
    </w:p>
    <w:p w14:paraId="7BBD08E4" w14:textId="77777777" w:rsidR="0017711C" w:rsidRDefault="00DA10C4">
      <w:pPr>
        <w:pStyle w:val="Paragraphedeliste"/>
        <w:numPr>
          <w:ilvl w:val="0"/>
          <w:numId w:val="2"/>
        </w:numPr>
        <w:spacing w:after="60"/>
      </w:pPr>
      <w:r>
        <w:t>La formation officielle CEH v13, conforme au programme de l’EC-Council ;</w:t>
      </w:r>
    </w:p>
    <w:p w14:paraId="1E0B06F8" w14:textId="77777777" w:rsidR="0017711C" w:rsidRDefault="00DA10C4">
      <w:pPr>
        <w:pStyle w:val="Paragraphedeliste"/>
        <w:numPr>
          <w:ilvl w:val="0"/>
          <w:numId w:val="2"/>
        </w:numPr>
        <w:spacing w:after="60"/>
      </w:pPr>
      <w:r>
        <w:t>Un plan de formation détaillé couvrant l’intégralité du programme officiel CEH v13 ;</w:t>
      </w:r>
    </w:p>
    <w:p w14:paraId="2817208D" w14:textId="77777777" w:rsidR="0017711C" w:rsidRDefault="00DA10C4">
      <w:pPr>
        <w:pStyle w:val="Paragraphedeliste"/>
        <w:numPr>
          <w:ilvl w:val="0"/>
          <w:numId w:val="2"/>
        </w:numPr>
        <w:spacing w:after="60"/>
      </w:pPr>
      <w:r>
        <w:t>La mise à disposition d’un environnement de laboratoires pratiques (cyber range / iLabs) ;</w:t>
      </w:r>
    </w:p>
    <w:p w14:paraId="1A488D81" w14:textId="77777777" w:rsidR="0017711C" w:rsidRDefault="00DA10C4">
      <w:pPr>
        <w:pStyle w:val="Paragraphedeliste"/>
        <w:numPr>
          <w:ilvl w:val="0"/>
          <w:numId w:val="2"/>
        </w:numPr>
        <w:spacing w:after="60"/>
      </w:pPr>
      <w:r>
        <w:t>Les supports pédagogiques officiels EC-Council (courseware, guides de labs) ;</w:t>
      </w:r>
    </w:p>
    <w:p w14:paraId="6C693DE4" w14:textId="77777777" w:rsidR="0017711C" w:rsidRDefault="00DA10C4">
      <w:pPr>
        <w:pStyle w:val="Paragraphedeliste"/>
        <w:numPr>
          <w:ilvl w:val="0"/>
          <w:numId w:val="2"/>
        </w:numPr>
        <w:spacing w:after="60"/>
      </w:pPr>
      <w:r>
        <w:t>La formation par un formateur certifié CEI (Certified EC-Council Instructor) ;</w:t>
      </w:r>
    </w:p>
    <w:p w14:paraId="1C783E3B" w14:textId="77777777" w:rsidR="0017711C" w:rsidRDefault="00DA10C4">
      <w:pPr>
        <w:pStyle w:val="Paragraphedeliste"/>
        <w:numPr>
          <w:ilvl w:val="0"/>
          <w:numId w:val="2"/>
        </w:numPr>
        <w:spacing w:after="60"/>
      </w:pPr>
      <w:r>
        <w:t>L’organisation de sessions de révision et d’évaluations ;</w:t>
      </w:r>
    </w:p>
    <w:p w14:paraId="4BF80E36" w14:textId="77777777" w:rsidR="0017711C" w:rsidRDefault="00DA10C4">
      <w:pPr>
        <w:pStyle w:val="Paragraphedeliste"/>
        <w:numPr>
          <w:ilvl w:val="0"/>
          <w:numId w:val="2"/>
        </w:numPr>
        <w:spacing w:after="60"/>
      </w:pPr>
      <w:r>
        <w:t>La remise d’une attestation de formation aux participants.</w:t>
      </w:r>
    </w:p>
    <w:p w14:paraId="064610FA" w14:textId="77777777" w:rsidR="0017711C" w:rsidRDefault="00DA10C4">
      <w:pPr>
        <w:pStyle w:val="Titre2"/>
      </w:pPr>
      <w:bookmarkStart w:id="32" w:name="_Toc227736932"/>
      <w:r>
        <w:t>5.4. Spécifications techniques</w:t>
      </w:r>
      <w:bookmarkEnd w:id="32"/>
    </w:p>
    <w:p w14:paraId="4905F4C0" w14:textId="77777777" w:rsidR="0017711C" w:rsidRDefault="00DA10C4">
      <w:pPr>
        <w:spacing w:after="120"/>
        <w:jc w:val="both"/>
      </w:pPr>
      <w:r>
        <w:t>La formation devra couvrir au minimum les modules suivants :</w:t>
      </w:r>
    </w:p>
    <w:p w14:paraId="048B50DB" w14:textId="77777777" w:rsidR="0017711C" w:rsidRDefault="00DA10C4">
      <w:pPr>
        <w:pStyle w:val="Paragraphedeliste"/>
        <w:numPr>
          <w:ilvl w:val="0"/>
          <w:numId w:val="2"/>
        </w:numPr>
        <w:spacing w:after="60"/>
      </w:pPr>
      <w:r>
        <w:t>Introduction au hacking éthique, cadre légal et concepts fondamentaux ;</w:t>
      </w:r>
    </w:p>
    <w:p w14:paraId="6FA992A2" w14:textId="77777777" w:rsidR="0017711C" w:rsidRDefault="00DA10C4">
      <w:pPr>
        <w:pStyle w:val="Paragraphedeliste"/>
        <w:numPr>
          <w:ilvl w:val="0"/>
          <w:numId w:val="2"/>
        </w:numPr>
        <w:spacing w:after="60"/>
      </w:pPr>
      <w:r>
        <w:t>Techniques de reconnaissance et collecte d’informations (Footprinting &amp; Reconnaissance) ;</w:t>
      </w:r>
    </w:p>
    <w:p w14:paraId="576B5014" w14:textId="77777777" w:rsidR="0017711C" w:rsidRDefault="00DA10C4">
      <w:pPr>
        <w:pStyle w:val="Paragraphedeliste"/>
        <w:numPr>
          <w:ilvl w:val="0"/>
          <w:numId w:val="2"/>
        </w:numPr>
        <w:spacing w:after="60"/>
      </w:pPr>
      <w:r>
        <w:t>Scanning des réseaux, énumération des systèmes et analyse des vulnérabilités ;</w:t>
      </w:r>
    </w:p>
    <w:p w14:paraId="4AEBF997" w14:textId="77777777" w:rsidR="0017711C" w:rsidRDefault="00DA10C4">
      <w:pPr>
        <w:pStyle w:val="Paragraphedeliste"/>
        <w:numPr>
          <w:ilvl w:val="0"/>
          <w:numId w:val="2"/>
        </w:numPr>
        <w:spacing w:after="60"/>
      </w:pPr>
      <w:r>
        <w:t>Hacking des systèmes, applications web, serveurs et bases de données ;</w:t>
      </w:r>
    </w:p>
    <w:p w14:paraId="59D2E607" w14:textId="77777777" w:rsidR="0017711C" w:rsidRDefault="00DA10C4">
      <w:pPr>
        <w:pStyle w:val="Paragraphedeliste"/>
        <w:numPr>
          <w:ilvl w:val="0"/>
          <w:numId w:val="2"/>
        </w:numPr>
        <w:spacing w:after="60"/>
      </w:pPr>
      <w:r>
        <w:t>Attaques par malwares, sniffing, ingénierie sociale, DoS/DDoS et hijacking ;</w:t>
      </w:r>
    </w:p>
    <w:p w14:paraId="0ACF8206" w14:textId="77777777" w:rsidR="0017711C" w:rsidRDefault="00DA10C4">
      <w:pPr>
        <w:pStyle w:val="Paragraphedeliste"/>
        <w:numPr>
          <w:ilvl w:val="0"/>
          <w:numId w:val="2"/>
        </w:numPr>
        <w:spacing w:after="60"/>
      </w:pPr>
      <w:r>
        <w:t>Évasion des IDS/IPS, pare-feux et honeypots ;</w:t>
      </w:r>
    </w:p>
    <w:p w14:paraId="55BBCDBC" w14:textId="77777777" w:rsidR="0017711C" w:rsidRDefault="00DA10C4">
      <w:pPr>
        <w:pStyle w:val="Paragraphedeliste"/>
        <w:numPr>
          <w:ilvl w:val="0"/>
          <w:numId w:val="2"/>
        </w:numPr>
        <w:spacing w:after="60"/>
      </w:pPr>
      <w:r>
        <w:t>Hacking des réseaux sans fil, plateformes mobiles, IoT/OT et cloud computing ;</w:t>
      </w:r>
    </w:p>
    <w:p w14:paraId="20D08FEC" w14:textId="77777777" w:rsidR="0017711C" w:rsidRDefault="00DA10C4">
      <w:pPr>
        <w:pStyle w:val="Paragraphedeliste"/>
        <w:numPr>
          <w:ilvl w:val="0"/>
          <w:numId w:val="2"/>
        </w:numPr>
        <w:spacing w:after="60"/>
      </w:pPr>
      <w:r>
        <w:t>Cryptographie et mécanismes de protection des données ;</w:t>
      </w:r>
    </w:p>
    <w:p w14:paraId="7C2E166A" w14:textId="77777777" w:rsidR="0017711C" w:rsidRDefault="00DA10C4">
      <w:pPr>
        <w:pStyle w:val="Paragraphedeliste"/>
        <w:numPr>
          <w:ilvl w:val="0"/>
          <w:numId w:val="2"/>
        </w:numPr>
        <w:spacing w:after="60"/>
      </w:pPr>
      <w:r>
        <w:t>Intégration de l’Intelligence Artificielle (nouveautés CEH v13).</w:t>
      </w:r>
    </w:p>
    <w:p w14:paraId="0F1EDDDE" w14:textId="77777777" w:rsidR="0017711C" w:rsidRDefault="0017711C">
      <w:pPr>
        <w:spacing w:after="120"/>
      </w:pPr>
    </w:p>
    <w:p w14:paraId="2E323CC8" w14:textId="77777777" w:rsidR="0017711C" w:rsidRDefault="00DA10C4">
      <w:pPr>
        <w:spacing w:after="120"/>
        <w:jc w:val="both"/>
      </w:pPr>
      <w:r>
        <w:rPr>
          <w:i/>
          <w:iCs/>
        </w:rPr>
        <w:t>Conforme au programme officiel CEH v13 de l’EC-Council (20 modules officiels), animée par un formateur CEI certifié, accès iLabs 24h/24 7j/7, outils : Nmap, Nessus, Metasploit, Burp Suite, Wireshark, etc.</w:t>
      </w:r>
    </w:p>
    <w:p w14:paraId="585281CC" w14:textId="4C2F5489" w:rsidR="0017711C" w:rsidRDefault="0017711C"/>
    <w:p w14:paraId="704A5156" w14:textId="77777777" w:rsidR="0017711C" w:rsidRDefault="00DA10C4">
      <w:pPr>
        <w:pStyle w:val="Titre1"/>
        <w:pBdr>
          <w:bottom w:val="single" w:sz="6" w:space="4" w:color="2E75B6"/>
        </w:pBdr>
        <w:spacing w:before="480" w:after="300"/>
      </w:pPr>
      <w:bookmarkStart w:id="33" w:name="_Toc227736933"/>
      <w:r>
        <w:t>LOT 6 : Formation MEHARI Risk Manager</w:t>
      </w:r>
      <w:bookmarkEnd w:id="33"/>
    </w:p>
    <w:p w14:paraId="6E1F5576" w14:textId="77777777" w:rsidR="0017711C" w:rsidRDefault="00DA10C4">
      <w:pPr>
        <w:pStyle w:val="Titre2"/>
      </w:pPr>
      <w:bookmarkStart w:id="34" w:name="_Toc227736934"/>
      <w:r>
        <w:t>6.1. Contexte et justification</w:t>
      </w:r>
      <w:bookmarkEnd w:id="34"/>
    </w:p>
    <w:p w14:paraId="431E8E92" w14:textId="77777777" w:rsidR="0017711C" w:rsidRDefault="00DA10C4">
      <w:pPr>
        <w:spacing w:after="120"/>
        <w:jc w:val="both"/>
      </w:pPr>
      <w:r>
        <w:t>La formation MEHARI Risk Manager permettra à la BVMAC, à travers ses collaborateurs formés, de développer les compétences nécessaires pour identifier, évaluer, traiter et suivre les risques liés aux systèmes d’information, selon la méthodologie MEHARI, reconnue pour sa rigueur et sa flexibilité.</w:t>
      </w:r>
    </w:p>
    <w:p w14:paraId="065056E0" w14:textId="77777777" w:rsidR="0017711C" w:rsidRDefault="00DA10C4">
      <w:pPr>
        <w:spacing w:after="120"/>
        <w:jc w:val="both"/>
      </w:pPr>
      <w:r>
        <w:t>Dans un cadre exécutif et stratégique, la formation MEHARI Risk Manager constituera un levier clé de gouvernance des risques SI, permettant de sécuriser les actifs critiques, de réduire les vulnérabilités et d’appuyer les décisions stratégiques de la BVMAC, en complémentarité avec les approches normatives existantes (ISO 27001, ISO 27005).</w:t>
      </w:r>
    </w:p>
    <w:p w14:paraId="53218F10" w14:textId="77777777" w:rsidR="0017711C" w:rsidRDefault="00DA10C4">
      <w:pPr>
        <w:pStyle w:val="Titre2"/>
      </w:pPr>
      <w:bookmarkStart w:id="35" w:name="_Toc227736935"/>
      <w:r>
        <w:t>6.2. Objectifs du lot</w:t>
      </w:r>
      <w:bookmarkEnd w:id="35"/>
    </w:p>
    <w:p w14:paraId="497A41C9" w14:textId="77777777" w:rsidR="0017711C" w:rsidRDefault="00DA10C4">
      <w:pPr>
        <w:pStyle w:val="Paragraphedeliste"/>
        <w:numPr>
          <w:ilvl w:val="0"/>
          <w:numId w:val="2"/>
        </w:numPr>
        <w:spacing w:after="60"/>
      </w:pPr>
      <w:r>
        <w:t>Cartographier les actifs informationnels et identifier les risques impactant l’entreprise ;</w:t>
      </w:r>
    </w:p>
    <w:p w14:paraId="723AA837" w14:textId="77777777" w:rsidR="0017711C" w:rsidRDefault="00DA10C4">
      <w:pPr>
        <w:pStyle w:val="Paragraphedeliste"/>
        <w:numPr>
          <w:ilvl w:val="0"/>
          <w:numId w:val="2"/>
        </w:numPr>
        <w:spacing w:after="60"/>
      </w:pPr>
      <w:r>
        <w:t>Évaluer et prioriser les risques selon leur criticité et leur impact sur les activités métiers ;</w:t>
      </w:r>
    </w:p>
    <w:p w14:paraId="4F542AE9" w14:textId="77777777" w:rsidR="0017711C" w:rsidRDefault="00DA10C4">
      <w:pPr>
        <w:pStyle w:val="Paragraphedeliste"/>
        <w:numPr>
          <w:ilvl w:val="0"/>
          <w:numId w:val="2"/>
        </w:numPr>
        <w:spacing w:after="60"/>
      </w:pPr>
      <w:r>
        <w:t>Mettre en œuvre des mesures de maîtrise adaptées pour réduire les risques cyber, opérationnels et organisationnels ;</w:t>
      </w:r>
    </w:p>
    <w:p w14:paraId="6AFEF9E5" w14:textId="77777777" w:rsidR="0017711C" w:rsidRDefault="00DA10C4">
      <w:pPr>
        <w:pStyle w:val="Paragraphedeliste"/>
        <w:numPr>
          <w:ilvl w:val="0"/>
          <w:numId w:val="2"/>
        </w:numPr>
        <w:spacing w:after="60"/>
      </w:pPr>
      <w:r>
        <w:t>Assurer un suivi et un pilotage continus de la gestion des risques ;</w:t>
      </w:r>
    </w:p>
    <w:p w14:paraId="52C5AA72" w14:textId="77777777" w:rsidR="0017711C" w:rsidRDefault="00DA10C4">
      <w:pPr>
        <w:pStyle w:val="Paragraphedeliste"/>
        <w:numPr>
          <w:ilvl w:val="0"/>
          <w:numId w:val="2"/>
        </w:numPr>
        <w:spacing w:after="60"/>
      </w:pPr>
      <w:r>
        <w:t>Garantir la conformité et la sécurité des systèmes d’information tout en optimisant la résilience organisationnelle.</w:t>
      </w:r>
    </w:p>
    <w:p w14:paraId="0428B2C1" w14:textId="77777777" w:rsidR="0017711C" w:rsidRDefault="00DA10C4">
      <w:pPr>
        <w:pStyle w:val="Titre2"/>
      </w:pPr>
      <w:bookmarkStart w:id="36" w:name="_Toc227736936"/>
      <w:r>
        <w:t>6.3. Définition des travaux</w:t>
      </w:r>
      <w:bookmarkEnd w:id="36"/>
    </w:p>
    <w:p w14:paraId="285E59B3" w14:textId="77777777" w:rsidR="0017711C" w:rsidRDefault="00DA10C4">
      <w:pPr>
        <w:spacing w:after="120"/>
        <w:jc w:val="both"/>
      </w:pPr>
      <w:r>
        <w:t>Le prestataire retenu devra assurer :</w:t>
      </w:r>
    </w:p>
    <w:p w14:paraId="46A3FBB9" w14:textId="77777777" w:rsidR="0017711C" w:rsidRDefault="00DA10C4">
      <w:pPr>
        <w:pStyle w:val="Paragraphedeliste"/>
        <w:numPr>
          <w:ilvl w:val="0"/>
          <w:numId w:val="2"/>
        </w:numPr>
        <w:spacing w:after="60"/>
      </w:pPr>
      <w:r>
        <w:t>La formation officielle MEHARI Risk Manager (CLUSIF) ;</w:t>
      </w:r>
    </w:p>
    <w:p w14:paraId="1BFCBDED" w14:textId="77777777" w:rsidR="0017711C" w:rsidRDefault="00DA10C4">
      <w:pPr>
        <w:pStyle w:val="Paragraphedeliste"/>
        <w:numPr>
          <w:ilvl w:val="0"/>
          <w:numId w:val="2"/>
        </w:numPr>
        <w:spacing w:after="60"/>
      </w:pPr>
      <w:r>
        <w:t>Un plan de formation détaillé couvrant l’intégralité du curriculum officiel ;</w:t>
      </w:r>
    </w:p>
    <w:p w14:paraId="4A0EFF25" w14:textId="77777777" w:rsidR="0017711C" w:rsidRDefault="00DA10C4">
      <w:pPr>
        <w:pStyle w:val="Paragraphedeliste"/>
        <w:numPr>
          <w:ilvl w:val="0"/>
          <w:numId w:val="2"/>
        </w:numPr>
        <w:spacing w:after="60"/>
      </w:pPr>
      <w:r>
        <w:t>Des outils pratiques et études de cas adaptés au contexte d’un marché financier ;</w:t>
      </w:r>
    </w:p>
    <w:p w14:paraId="3C5F044F" w14:textId="77777777" w:rsidR="0017711C" w:rsidRDefault="00DA10C4">
      <w:pPr>
        <w:pStyle w:val="Paragraphedeliste"/>
        <w:numPr>
          <w:ilvl w:val="0"/>
          <w:numId w:val="2"/>
        </w:numPr>
        <w:spacing w:after="60"/>
      </w:pPr>
      <w:r>
        <w:t>Les supports pédagogiques officiels (guides méthodologiques, outils RISICARE ou équivalent) ;</w:t>
      </w:r>
    </w:p>
    <w:p w14:paraId="24352AAF" w14:textId="77777777" w:rsidR="0017711C" w:rsidRDefault="00DA10C4">
      <w:pPr>
        <w:pStyle w:val="Paragraphedeliste"/>
        <w:numPr>
          <w:ilvl w:val="0"/>
          <w:numId w:val="2"/>
        </w:numPr>
        <w:spacing w:after="60"/>
      </w:pPr>
      <w:r>
        <w:t>La formation par un formateur expert certifié MEHARI / CLUSIF ;</w:t>
      </w:r>
    </w:p>
    <w:p w14:paraId="26B34934" w14:textId="77777777" w:rsidR="0017711C" w:rsidRDefault="00DA10C4">
      <w:pPr>
        <w:pStyle w:val="Paragraphedeliste"/>
        <w:numPr>
          <w:ilvl w:val="0"/>
          <w:numId w:val="2"/>
        </w:numPr>
        <w:spacing w:after="60"/>
      </w:pPr>
      <w:r>
        <w:t>L’organisation de sessions de révision et d’évaluations ;</w:t>
      </w:r>
    </w:p>
    <w:p w14:paraId="470C0A42" w14:textId="77777777" w:rsidR="0017711C" w:rsidRDefault="00DA10C4">
      <w:pPr>
        <w:pStyle w:val="Paragraphedeliste"/>
        <w:numPr>
          <w:ilvl w:val="0"/>
          <w:numId w:val="2"/>
        </w:numPr>
        <w:spacing w:after="60"/>
      </w:pPr>
      <w:r>
        <w:t>La remise d’une attestation de formation aux participants.</w:t>
      </w:r>
    </w:p>
    <w:p w14:paraId="33F272EC" w14:textId="77777777" w:rsidR="0017711C" w:rsidRDefault="00DA10C4">
      <w:pPr>
        <w:pStyle w:val="Titre2"/>
      </w:pPr>
      <w:bookmarkStart w:id="37" w:name="_Toc227736937"/>
      <w:r>
        <w:t>6.4. Spécifications techniques</w:t>
      </w:r>
      <w:bookmarkEnd w:id="37"/>
    </w:p>
    <w:p w14:paraId="772FA59E" w14:textId="77777777" w:rsidR="0017711C" w:rsidRDefault="00DA10C4">
      <w:pPr>
        <w:spacing w:after="120"/>
        <w:jc w:val="both"/>
      </w:pPr>
      <w:r>
        <w:t>La formation devra couvrir au minimum les modules suivants :</w:t>
      </w:r>
    </w:p>
    <w:p w14:paraId="79F18F16" w14:textId="77777777" w:rsidR="0017711C" w:rsidRDefault="00DA10C4">
      <w:pPr>
        <w:pStyle w:val="Paragraphedeliste"/>
        <w:numPr>
          <w:ilvl w:val="0"/>
          <w:numId w:val="2"/>
        </w:numPr>
        <w:spacing w:after="60"/>
      </w:pPr>
      <w:r>
        <w:t>Introduction à la méthode MEHARI : historique, principes, positionnement (ISO 27005, EBIOS RM, OCTAVE) ;</w:t>
      </w:r>
    </w:p>
    <w:p w14:paraId="430B4663" w14:textId="77777777" w:rsidR="0017711C" w:rsidRDefault="00DA10C4">
      <w:pPr>
        <w:pStyle w:val="Paragraphedeliste"/>
        <w:numPr>
          <w:ilvl w:val="0"/>
          <w:numId w:val="2"/>
        </w:numPr>
        <w:spacing w:after="60"/>
      </w:pPr>
      <w:r>
        <w:t>Identification et cartographie des actifs informationnels ;</w:t>
      </w:r>
    </w:p>
    <w:p w14:paraId="2298267F" w14:textId="77777777" w:rsidR="0017711C" w:rsidRDefault="00DA10C4">
      <w:pPr>
        <w:pStyle w:val="Paragraphedeliste"/>
        <w:numPr>
          <w:ilvl w:val="0"/>
          <w:numId w:val="2"/>
        </w:numPr>
        <w:spacing w:after="60"/>
      </w:pPr>
      <w:r>
        <w:t>Analyse des services de sécurité MEHARI ;</w:t>
      </w:r>
    </w:p>
    <w:p w14:paraId="4209AA82" w14:textId="77777777" w:rsidR="0017711C" w:rsidRDefault="00DA10C4">
      <w:pPr>
        <w:pStyle w:val="Paragraphedeliste"/>
        <w:numPr>
          <w:ilvl w:val="0"/>
          <w:numId w:val="2"/>
        </w:numPr>
        <w:spacing w:after="60"/>
      </w:pPr>
      <w:r>
        <w:t>Évaluation et cotation des risques (potentialité, impact, risque résiduel) ;</w:t>
      </w:r>
    </w:p>
    <w:p w14:paraId="07DF04F0" w14:textId="77777777" w:rsidR="0017711C" w:rsidRDefault="00DA10C4">
      <w:pPr>
        <w:pStyle w:val="Paragraphedeliste"/>
        <w:numPr>
          <w:ilvl w:val="0"/>
          <w:numId w:val="2"/>
        </w:numPr>
        <w:spacing w:after="60"/>
      </w:pPr>
      <w:r>
        <w:t>Traitement des risques (réduction, transfert, acceptation, refus) ;</w:t>
      </w:r>
    </w:p>
    <w:p w14:paraId="11CD1826" w14:textId="77777777" w:rsidR="0017711C" w:rsidRDefault="00DA10C4">
      <w:pPr>
        <w:pStyle w:val="Paragraphedeliste"/>
        <w:numPr>
          <w:ilvl w:val="0"/>
          <w:numId w:val="2"/>
        </w:numPr>
        <w:spacing w:after="60"/>
      </w:pPr>
      <w:r>
        <w:t>Utilisation de l’outil RISICARE (ou équivalent agréé CLUSIF) ;</w:t>
      </w:r>
    </w:p>
    <w:p w14:paraId="04241CAF" w14:textId="77777777" w:rsidR="0017711C" w:rsidRDefault="00DA10C4">
      <w:pPr>
        <w:pStyle w:val="Paragraphedeliste"/>
        <w:numPr>
          <w:ilvl w:val="0"/>
          <w:numId w:val="2"/>
        </w:numPr>
        <w:spacing w:after="60"/>
      </w:pPr>
      <w:r>
        <w:t>Pilotage et suivi du plan de traitement des risques (KRI/KPI) ;</w:t>
      </w:r>
    </w:p>
    <w:p w14:paraId="786D25DC" w14:textId="77777777" w:rsidR="0017711C" w:rsidRDefault="00DA10C4">
      <w:pPr>
        <w:pStyle w:val="Paragraphedeliste"/>
        <w:numPr>
          <w:ilvl w:val="0"/>
          <w:numId w:val="2"/>
        </w:numPr>
        <w:spacing w:after="60"/>
      </w:pPr>
      <w:r>
        <w:t>Intégration de MEHARI dans la gouvernance de la sécurité de l’information.</w:t>
      </w:r>
    </w:p>
    <w:p w14:paraId="0E526348" w14:textId="77777777" w:rsidR="0017711C" w:rsidRDefault="0017711C">
      <w:pPr>
        <w:spacing w:after="120"/>
      </w:pPr>
    </w:p>
    <w:p w14:paraId="09B78C76" w14:textId="0E01E640" w:rsidR="0017711C" w:rsidRDefault="00DA10C4">
      <w:pPr>
        <w:spacing w:after="120"/>
        <w:jc w:val="both"/>
      </w:pPr>
      <w:r>
        <w:rPr>
          <w:i/>
          <w:iCs/>
        </w:rPr>
        <w:t>Conforme au programme officiel MEHARI Risk Manager du CLUSIF, animée par un formateur expert certifié MEHARI, dispensée en français</w:t>
      </w:r>
      <w:r w:rsidR="00822077">
        <w:rPr>
          <w:i/>
          <w:iCs/>
        </w:rPr>
        <w:t xml:space="preserve"> ou en anglais</w:t>
      </w:r>
      <w:r>
        <w:rPr>
          <w:i/>
          <w:iCs/>
        </w:rPr>
        <w:t>.</w:t>
      </w:r>
    </w:p>
    <w:p w14:paraId="61945365" w14:textId="77777777" w:rsidR="0017711C" w:rsidRDefault="00DA10C4">
      <w:r>
        <w:br w:type="page"/>
      </w:r>
    </w:p>
    <w:p w14:paraId="582AEB1A" w14:textId="77777777" w:rsidR="001E1405" w:rsidRDefault="001E1405">
      <w:pPr>
        <w:pStyle w:val="Titre1"/>
        <w:pBdr>
          <w:bottom w:val="single" w:sz="6" w:space="4" w:color="2E75B6"/>
        </w:pBdr>
        <w:spacing w:before="480" w:after="300"/>
      </w:pPr>
    </w:p>
    <w:p w14:paraId="1250434E" w14:textId="4ECAE11D" w:rsidR="0017711C" w:rsidRDefault="00DA10C4">
      <w:pPr>
        <w:pStyle w:val="Titre1"/>
        <w:pBdr>
          <w:bottom w:val="single" w:sz="6" w:space="4" w:color="2E75B6"/>
        </w:pBdr>
        <w:spacing w:before="480" w:after="300"/>
      </w:pPr>
      <w:bookmarkStart w:id="38" w:name="_Toc227736938"/>
      <w:r>
        <w:t>LOT 7 : Formation Huawei HCIA-Datacom</w:t>
      </w:r>
      <w:bookmarkEnd w:id="38"/>
    </w:p>
    <w:p w14:paraId="2C32B33F" w14:textId="77777777" w:rsidR="0017711C" w:rsidRDefault="00DA10C4">
      <w:pPr>
        <w:pStyle w:val="Titre2"/>
      </w:pPr>
      <w:bookmarkStart w:id="39" w:name="_Toc227736939"/>
      <w:r>
        <w:t>7.1. Contexte et justification</w:t>
      </w:r>
      <w:bookmarkEnd w:id="39"/>
    </w:p>
    <w:p w14:paraId="30133C4C" w14:textId="77777777" w:rsidR="0017711C" w:rsidRDefault="00DA10C4">
      <w:pPr>
        <w:spacing w:after="120"/>
        <w:jc w:val="both"/>
      </w:pPr>
      <w:r>
        <w:t>La formation Huawei HCIA-Datacom vise à doter les ingénieurs de la DSI des compétences fondamentales pour installer, configurer, exploiter et dépanner des réseaux d’entreprise agiles. Suite à l’acquisition d’équipements Huawei Networking dans le cadre du projet SITE DE REPLI, il est primordial pour les équipes de maîtriser ces équipements ainsi que les protocoles de routage et de commutation, indispensables à la stabilité des infrastructures de la BVMAC.</w:t>
      </w:r>
    </w:p>
    <w:p w14:paraId="6CFD033A" w14:textId="77777777" w:rsidR="0017711C" w:rsidRDefault="00DA10C4">
      <w:pPr>
        <w:spacing w:after="120"/>
        <w:jc w:val="both"/>
      </w:pPr>
      <w:r>
        <w:t>Dans un environnement où la disponibilité du système de cotation est vitale, cette formation constitue un levier essentiel pour garantir une infrastructure réseau robuste, performante et évolutive.</w:t>
      </w:r>
    </w:p>
    <w:p w14:paraId="4171BD2F" w14:textId="77777777" w:rsidR="0017711C" w:rsidRDefault="00DA10C4">
      <w:pPr>
        <w:pStyle w:val="Titre2"/>
      </w:pPr>
      <w:bookmarkStart w:id="40" w:name="_Toc227736940"/>
      <w:r>
        <w:t>7.2. Objectifs du lot</w:t>
      </w:r>
      <w:bookmarkEnd w:id="40"/>
    </w:p>
    <w:p w14:paraId="43738A51" w14:textId="77777777" w:rsidR="0017711C" w:rsidRDefault="00DA10C4">
      <w:pPr>
        <w:pStyle w:val="Paragraphedeliste"/>
        <w:numPr>
          <w:ilvl w:val="0"/>
          <w:numId w:val="2"/>
        </w:numPr>
        <w:spacing w:after="60"/>
      </w:pPr>
      <w:r>
        <w:t>Maîtriser les protocoles de routage et de commutation pour garantir une connectivité fluide et redondante ;</w:t>
      </w:r>
    </w:p>
    <w:p w14:paraId="428E21E3" w14:textId="77777777" w:rsidR="0017711C" w:rsidRDefault="00DA10C4">
      <w:pPr>
        <w:pStyle w:val="Paragraphedeliste"/>
        <w:numPr>
          <w:ilvl w:val="0"/>
          <w:numId w:val="2"/>
        </w:numPr>
        <w:spacing w:after="60"/>
      </w:pPr>
      <w:r>
        <w:t>Configurer et optimiser les équipements réseaux Huawei selon les meilleures pratiques du constructeur ;</w:t>
      </w:r>
    </w:p>
    <w:p w14:paraId="61B6E0D9" w14:textId="77777777" w:rsidR="0017711C" w:rsidRDefault="00DA10C4">
      <w:pPr>
        <w:pStyle w:val="Paragraphedeliste"/>
        <w:numPr>
          <w:ilvl w:val="0"/>
          <w:numId w:val="2"/>
        </w:numPr>
        <w:spacing w:after="60"/>
      </w:pPr>
      <w:r>
        <w:t>Assurer la maintenance et le dépannage rapide des incidents réseaux ;</w:t>
      </w:r>
    </w:p>
    <w:p w14:paraId="3FDCC770" w14:textId="77777777" w:rsidR="0017711C" w:rsidRDefault="00DA10C4">
      <w:pPr>
        <w:pStyle w:val="Paragraphedeliste"/>
        <w:numPr>
          <w:ilvl w:val="0"/>
          <w:numId w:val="2"/>
        </w:numPr>
        <w:spacing w:after="60"/>
      </w:pPr>
      <w:r>
        <w:t>Implémenter les bases de la sécurité réseau (ACL, AAA) ;</w:t>
      </w:r>
    </w:p>
    <w:p w14:paraId="13DBEF07" w14:textId="77777777" w:rsidR="0017711C" w:rsidRDefault="00DA10C4">
      <w:pPr>
        <w:pStyle w:val="Paragraphedeliste"/>
        <w:numPr>
          <w:ilvl w:val="0"/>
          <w:numId w:val="2"/>
        </w:numPr>
        <w:spacing w:after="60"/>
      </w:pPr>
      <w:r>
        <w:t>Comprendre les évolutions technologiques (SDN, automatisation) pour préparer l’infrastructure aux futurs besoins.</w:t>
      </w:r>
    </w:p>
    <w:p w14:paraId="776DA320" w14:textId="77777777" w:rsidR="0017711C" w:rsidRDefault="00DA10C4">
      <w:pPr>
        <w:pStyle w:val="Titre2"/>
      </w:pPr>
      <w:bookmarkStart w:id="41" w:name="_Toc227736941"/>
      <w:r>
        <w:t>7.3. Définition des travaux</w:t>
      </w:r>
      <w:bookmarkEnd w:id="41"/>
    </w:p>
    <w:p w14:paraId="4417FCAF" w14:textId="77777777" w:rsidR="0017711C" w:rsidRDefault="00DA10C4">
      <w:pPr>
        <w:spacing w:after="120"/>
        <w:jc w:val="both"/>
      </w:pPr>
      <w:r>
        <w:t>Le prestataire retenu devra assurer :</w:t>
      </w:r>
    </w:p>
    <w:p w14:paraId="67459B5D" w14:textId="77777777" w:rsidR="0017711C" w:rsidRDefault="00DA10C4">
      <w:pPr>
        <w:pStyle w:val="Paragraphedeliste"/>
        <w:numPr>
          <w:ilvl w:val="0"/>
          <w:numId w:val="2"/>
        </w:numPr>
        <w:spacing w:after="60"/>
      </w:pPr>
      <w:r>
        <w:t>La formation officielle Huawei HCIA-Datacom (Huawei ICT Academy) ;</w:t>
      </w:r>
    </w:p>
    <w:p w14:paraId="74663E29" w14:textId="77777777" w:rsidR="0017711C" w:rsidRDefault="00DA10C4">
      <w:pPr>
        <w:pStyle w:val="Paragraphedeliste"/>
        <w:numPr>
          <w:ilvl w:val="0"/>
          <w:numId w:val="2"/>
        </w:numPr>
        <w:spacing w:after="60"/>
      </w:pPr>
      <w:r>
        <w:t>Un plan de formation détaillé couvrant l’intégralité du programme officiel ;</w:t>
      </w:r>
    </w:p>
    <w:p w14:paraId="116BA302" w14:textId="77777777" w:rsidR="0017711C" w:rsidRDefault="00DA10C4">
      <w:pPr>
        <w:pStyle w:val="Paragraphedeliste"/>
        <w:numPr>
          <w:ilvl w:val="0"/>
          <w:numId w:val="2"/>
        </w:numPr>
        <w:spacing w:after="60"/>
      </w:pPr>
      <w:r>
        <w:t>Un environnement de laboratoires pratiques (commutateurs, routeurs, émulateurs eNSP/HCL) ;</w:t>
      </w:r>
    </w:p>
    <w:p w14:paraId="69593DCB" w14:textId="77777777" w:rsidR="0017711C" w:rsidRDefault="00DA10C4">
      <w:pPr>
        <w:pStyle w:val="Paragraphedeliste"/>
        <w:numPr>
          <w:ilvl w:val="0"/>
          <w:numId w:val="2"/>
        </w:numPr>
        <w:spacing w:after="60"/>
      </w:pPr>
      <w:r>
        <w:t>Les supports pédagogiques officiels Huawei (courseware HCIA-Datacom, guides de labs) ;</w:t>
      </w:r>
    </w:p>
    <w:p w14:paraId="1FA48C2F" w14:textId="77777777" w:rsidR="0017711C" w:rsidRDefault="00DA10C4">
      <w:pPr>
        <w:pStyle w:val="Paragraphedeliste"/>
        <w:numPr>
          <w:ilvl w:val="0"/>
          <w:numId w:val="2"/>
        </w:numPr>
        <w:spacing w:after="60"/>
      </w:pPr>
      <w:r>
        <w:t>La formation par un formateur certifié Huawei Certified Instructor (HCI) ;</w:t>
      </w:r>
    </w:p>
    <w:p w14:paraId="06A2AF16" w14:textId="77777777" w:rsidR="0017711C" w:rsidRDefault="00DA10C4">
      <w:pPr>
        <w:pStyle w:val="Paragraphedeliste"/>
        <w:numPr>
          <w:ilvl w:val="0"/>
          <w:numId w:val="2"/>
        </w:numPr>
        <w:spacing w:after="60"/>
      </w:pPr>
      <w:r>
        <w:t>L’organisation de sessions de révision et d’évaluations ;</w:t>
      </w:r>
    </w:p>
    <w:p w14:paraId="2A238176" w14:textId="77777777" w:rsidR="0017711C" w:rsidRDefault="00DA10C4">
      <w:pPr>
        <w:pStyle w:val="Paragraphedeliste"/>
        <w:numPr>
          <w:ilvl w:val="0"/>
          <w:numId w:val="2"/>
        </w:numPr>
        <w:spacing w:after="60"/>
      </w:pPr>
      <w:r>
        <w:t>La remise d’une attestation de formation aux participants.</w:t>
      </w:r>
    </w:p>
    <w:p w14:paraId="2F2A54A0" w14:textId="77777777" w:rsidR="0017711C" w:rsidRDefault="00DA10C4">
      <w:pPr>
        <w:pStyle w:val="Titre2"/>
      </w:pPr>
      <w:bookmarkStart w:id="42" w:name="_Toc227736942"/>
      <w:r>
        <w:t>7.4. Spécifications techniques</w:t>
      </w:r>
      <w:bookmarkEnd w:id="42"/>
    </w:p>
    <w:p w14:paraId="05FD3FEA" w14:textId="77777777" w:rsidR="0017711C" w:rsidRDefault="00DA10C4">
      <w:pPr>
        <w:spacing w:after="120"/>
        <w:jc w:val="both"/>
      </w:pPr>
      <w:r>
        <w:t>La formation devra couvrir au minimum les modules suivants :</w:t>
      </w:r>
    </w:p>
    <w:p w14:paraId="5F89B9EA" w14:textId="77777777" w:rsidR="0017711C" w:rsidRDefault="00DA10C4">
      <w:pPr>
        <w:pStyle w:val="Paragraphedeliste"/>
        <w:numPr>
          <w:ilvl w:val="0"/>
          <w:numId w:val="2"/>
        </w:numPr>
        <w:spacing w:after="60"/>
      </w:pPr>
      <w:r>
        <w:t>Introduction aux réseaux d’entreprise et écosystème Huawei (modèle OSI, TCP/IP) ;</w:t>
      </w:r>
    </w:p>
    <w:p w14:paraId="41AE31E8" w14:textId="77777777" w:rsidR="0017711C" w:rsidRDefault="00DA10C4">
      <w:pPr>
        <w:pStyle w:val="Paragraphedeliste"/>
        <w:numPr>
          <w:ilvl w:val="0"/>
          <w:numId w:val="2"/>
        </w:numPr>
        <w:spacing w:after="60"/>
      </w:pPr>
      <w:r>
        <w:t>Commutation Ethernet et VLANs (802.1Q, STP/RSTP, LACP/Eth-Trunk) ;</w:t>
      </w:r>
    </w:p>
    <w:p w14:paraId="52BD5A56" w14:textId="77777777" w:rsidR="0017711C" w:rsidRDefault="00DA10C4">
      <w:pPr>
        <w:pStyle w:val="Paragraphedeliste"/>
        <w:numPr>
          <w:ilvl w:val="0"/>
          <w:numId w:val="2"/>
        </w:numPr>
        <w:spacing w:after="60"/>
      </w:pPr>
      <w:r>
        <w:t>Routage statique et dynamique (OSPF, BGP, routage inter-VLAN) ;</w:t>
      </w:r>
    </w:p>
    <w:p w14:paraId="453F72E7" w14:textId="77777777" w:rsidR="0017711C" w:rsidRDefault="00DA10C4">
      <w:pPr>
        <w:pStyle w:val="Paragraphedeliste"/>
        <w:numPr>
          <w:ilvl w:val="0"/>
          <w:numId w:val="2"/>
        </w:numPr>
        <w:spacing w:after="60"/>
      </w:pPr>
      <w:r>
        <w:t>Connectivité WAN et VPN (PPP, GRE, IPsec, SSL VPN) ;</w:t>
      </w:r>
    </w:p>
    <w:p w14:paraId="2E27E3B5" w14:textId="77777777" w:rsidR="0017711C" w:rsidRDefault="00DA10C4">
      <w:pPr>
        <w:pStyle w:val="Paragraphedeliste"/>
        <w:numPr>
          <w:ilvl w:val="0"/>
          <w:numId w:val="2"/>
        </w:numPr>
        <w:spacing w:after="60"/>
      </w:pPr>
      <w:r>
        <w:t>Sécurité réseau de base (ACL, AAA RADIUS/TACACS+, Port Security) ;</w:t>
      </w:r>
    </w:p>
    <w:p w14:paraId="4B575DC9" w14:textId="77777777" w:rsidR="0017711C" w:rsidRDefault="00DA10C4">
      <w:pPr>
        <w:pStyle w:val="Paragraphedeliste"/>
        <w:numPr>
          <w:ilvl w:val="0"/>
          <w:numId w:val="2"/>
        </w:numPr>
        <w:spacing w:after="60"/>
      </w:pPr>
      <w:r>
        <w:t>Gestion et supervision des équipements Huawei (CLI VRP, SNMP, syslog, NTP) ;</w:t>
      </w:r>
    </w:p>
    <w:p w14:paraId="71B5C959" w14:textId="77777777" w:rsidR="0017711C" w:rsidRDefault="00DA10C4">
      <w:pPr>
        <w:pStyle w:val="Paragraphedeliste"/>
        <w:numPr>
          <w:ilvl w:val="0"/>
          <w:numId w:val="2"/>
        </w:numPr>
        <w:spacing w:after="60"/>
      </w:pPr>
      <w:r>
        <w:t>Réseau sans fil Wi-Fi d’entreprise ;</w:t>
      </w:r>
    </w:p>
    <w:p w14:paraId="65FA59A9" w14:textId="77777777" w:rsidR="0017711C" w:rsidRDefault="00DA10C4">
      <w:pPr>
        <w:pStyle w:val="Paragraphedeliste"/>
        <w:numPr>
          <w:ilvl w:val="0"/>
          <w:numId w:val="2"/>
        </w:numPr>
        <w:spacing w:after="60"/>
      </w:pPr>
      <w:r>
        <w:t>Introduction au SDN et à l’automatisation réseau.</w:t>
      </w:r>
    </w:p>
    <w:p w14:paraId="504E8BD3" w14:textId="77777777" w:rsidR="0017711C" w:rsidRDefault="0017711C">
      <w:pPr>
        <w:spacing w:after="120"/>
      </w:pPr>
    </w:p>
    <w:p w14:paraId="7056F8EA" w14:textId="2E2AC9D6" w:rsidR="0017711C" w:rsidRDefault="00DA10C4">
      <w:pPr>
        <w:spacing w:after="120"/>
        <w:jc w:val="both"/>
      </w:pPr>
      <w:r>
        <w:rPr>
          <w:i/>
          <w:iCs/>
        </w:rPr>
        <w:t xml:space="preserve">Conforme au programme officiel Huawei HCIA-Datacom, animée par un formateur certifié HCI ou agréé Huawei ICT </w:t>
      </w:r>
      <w:proofErr w:type="spellStart"/>
      <w:r>
        <w:rPr>
          <w:i/>
          <w:iCs/>
        </w:rPr>
        <w:t>Academy</w:t>
      </w:r>
      <w:proofErr w:type="spellEnd"/>
      <w:r>
        <w:rPr>
          <w:i/>
          <w:iCs/>
        </w:rPr>
        <w:t>, dispensée en français</w:t>
      </w:r>
      <w:r w:rsidR="0085046E">
        <w:rPr>
          <w:i/>
          <w:iCs/>
        </w:rPr>
        <w:t xml:space="preserve"> ou en anglais</w:t>
      </w:r>
      <w:r>
        <w:rPr>
          <w:i/>
          <w:iCs/>
        </w:rPr>
        <w:t>.</w:t>
      </w:r>
    </w:p>
    <w:p w14:paraId="53980BFD" w14:textId="77777777" w:rsidR="0017711C" w:rsidRDefault="00DA10C4">
      <w:r>
        <w:br w:type="page"/>
      </w:r>
    </w:p>
    <w:p w14:paraId="2D36CB7C" w14:textId="77777777" w:rsidR="001E1405" w:rsidRDefault="001E1405">
      <w:pPr>
        <w:pStyle w:val="Titre1"/>
        <w:pBdr>
          <w:bottom w:val="single" w:sz="6" w:space="4" w:color="2E75B6"/>
        </w:pBdr>
        <w:spacing w:before="480" w:after="300"/>
      </w:pPr>
    </w:p>
    <w:p w14:paraId="0B10C0CE" w14:textId="018A2EEC" w:rsidR="0017711C" w:rsidRDefault="00DA10C4">
      <w:pPr>
        <w:pStyle w:val="Titre1"/>
        <w:pBdr>
          <w:bottom w:val="single" w:sz="6" w:space="4" w:color="2E75B6"/>
        </w:pBdr>
        <w:spacing w:before="480" w:after="300"/>
      </w:pPr>
      <w:bookmarkStart w:id="43" w:name="_Toc227736943"/>
      <w:r>
        <w:t>LOT 8 : Formation Huawei HCIA-Storage</w:t>
      </w:r>
      <w:bookmarkEnd w:id="43"/>
    </w:p>
    <w:p w14:paraId="1CC154C9" w14:textId="77777777" w:rsidR="0017711C" w:rsidRDefault="00DA10C4">
      <w:pPr>
        <w:pStyle w:val="Titre2"/>
      </w:pPr>
      <w:bookmarkStart w:id="44" w:name="_Toc227736944"/>
      <w:r>
        <w:t>8.1. Contexte et justification</w:t>
      </w:r>
      <w:bookmarkEnd w:id="44"/>
    </w:p>
    <w:p w14:paraId="3FDE7478" w14:textId="77777777" w:rsidR="0017711C" w:rsidRDefault="00DA10C4">
      <w:pPr>
        <w:spacing w:after="120"/>
        <w:jc w:val="both"/>
      </w:pPr>
      <w:r>
        <w:t>La formation Huawei HCIA-Storage vise à doter les équipes de la DSI d’une expertise approfondie dans la gestion, l’exploitation et la maintenance des infrastructures de stockage de données de nouvelle génération. Dans le cadre du projet SITE DE REPLI, l’acquisition de baies de stockage Huawei rend cette formation primordiale. Elle garantira aux équipes une maîtrise technique complète pour assurer la haute disponibilité, l’intégrité et la protection des données critiques de la BVMAC sur ses différents sites.</w:t>
      </w:r>
    </w:p>
    <w:p w14:paraId="5426E414" w14:textId="77777777" w:rsidR="0017711C" w:rsidRDefault="00DA10C4">
      <w:pPr>
        <w:spacing w:after="120"/>
        <w:jc w:val="both"/>
      </w:pPr>
      <w:r>
        <w:t>Face aux enjeux de résilience de la BVMAC, la formation Huawei HCIA-Storage constitue un pilier stratégique. Elle assure une exploitation optimale des investissements matériels réalisés dans le cadre du projet SITE DE REPLI.</w:t>
      </w:r>
    </w:p>
    <w:p w14:paraId="7308ADDA" w14:textId="77777777" w:rsidR="0017711C" w:rsidRDefault="00DA10C4">
      <w:pPr>
        <w:pStyle w:val="Titre2"/>
      </w:pPr>
      <w:bookmarkStart w:id="45" w:name="_Toc227736945"/>
      <w:r>
        <w:t>8.2. Objectifs du lot</w:t>
      </w:r>
      <w:bookmarkEnd w:id="45"/>
    </w:p>
    <w:p w14:paraId="2F027530" w14:textId="77777777" w:rsidR="0017711C" w:rsidRDefault="00DA10C4">
      <w:pPr>
        <w:pStyle w:val="Paragraphedeliste"/>
        <w:numPr>
          <w:ilvl w:val="0"/>
          <w:numId w:val="2"/>
        </w:numPr>
        <w:spacing w:after="60"/>
      </w:pPr>
      <w:r>
        <w:t>Maîtriser les architectures de stockage (SAN, NAS) et les technologies liées aux baies Huawei ;</w:t>
      </w:r>
    </w:p>
    <w:p w14:paraId="0C5688FC" w14:textId="77777777" w:rsidR="0017711C" w:rsidRDefault="00DA10C4">
      <w:pPr>
        <w:pStyle w:val="Paragraphedeliste"/>
        <w:numPr>
          <w:ilvl w:val="0"/>
          <w:numId w:val="2"/>
        </w:numPr>
        <w:spacing w:after="60"/>
      </w:pPr>
      <w:r>
        <w:t>Administrer et configurer les ressources de stockage en optimisant les performances ;</w:t>
      </w:r>
    </w:p>
    <w:p w14:paraId="6ED1D727" w14:textId="77777777" w:rsidR="0017711C" w:rsidRDefault="00DA10C4">
      <w:pPr>
        <w:pStyle w:val="Paragraphedeliste"/>
        <w:numPr>
          <w:ilvl w:val="0"/>
          <w:numId w:val="2"/>
        </w:numPr>
        <w:spacing w:after="60"/>
      </w:pPr>
      <w:r>
        <w:t>Garantir la protection des données via sauvegarde, snapshots et réplication entre sites ;</w:t>
      </w:r>
    </w:p>
    <w:p w14:paraId="0337E86F" w14:textId="77777777" w:rsidR="0017711C" w:rsidRDefault="00DA10C4">
      <w:pPr>
        <w:pStyle w:val="Paragraphedeliste"/>
        <w:numPr>
          <w:ilvl w:val="0"/>
          <w:numId w:val="2"/>
        </w:numPr>
        <w:spacing w:after="60"/>
      </w:pPr>
      <w:r>
        <w:t>Assurer la continuité d’activité en maîtrisant les solutions de haute disponibilité et Disaster Recovery ;</w:t>
      </w:r>
    </w:p>
    <w:p w14:paraId="12DCA825" w14:textId="77777777" w:rsidR="0017711C" w:rsidRDefault="00DA10C4">
      <w:pPr>
        <w:pStyle w:val="Paragraphedeliste"/>
        <w:numPr>
          <w:ilvl w:val="0"/>
          <w:numId w:val="2"/>
        </w:numPr>
        <w:spacing w:after="60"/>
      </w:pPr>
      <w:r>
        <w:t>Optimiser la gestion du cycle de vie des données pour répondre aux exigences de volumétrie et de conformité.</w:t>
      </w:r>
    </w:p>
    <w:p w14:paraId="362B414D" w14:textId="77777777" w:rsidR="0017711C" w:rsidRDefault="00DA10C4">
      <w:pPr>
        <w:pStyle w:val="Titre2"/>
      </w:pPr>
      <w:bookmarkStart w:id="46" w:name="_Toc227736946"/>
      <w:r>
        <w:t>8.3. Définition des travaux</w:t>
      </w:r>
      <w:bookmarkEnd w:id="46"/>
    </w:p>
    <w:p w14:paraId="3474F7BF" w14:textId="77777777" w:rsidR="0017711C" w:rsidRDefault="00DA10C4">
      <w:pPr>
        <w:spacing w:after="120"/>
        <w:jc w:val="both"/>
      </w:pPr>
      <w:r>
        <w:t>Le prestataire retenu devra assurer :</w:t>
      </w:r>
    </w:p>
    <w:p w14:paraId="06512CE3" w14:textId="77777777" w:rsidR="0017711C" w:rsidRDefault="00DA10C4">
      <w:pPr>
        <w:pStyle w:val="Paragraphedeliste"/>
        <w:numPr>
          <w:ilvl w:val="0"/>
          <w:numId w:val="2"/>
        </w:numPr>
        <w:spacing w:after="60"/>
      </w:pPr>
      <w:r>
        <w:t>La formation officielle Huawei HCIA-Storage (Huawei ICT Academy) ;</w:t>
      </w:r>
    </w:p>
    <w:p w14:paraId="7333B36A" w14:textId="77777777" w:rsidR="0017711C" w:rsidRDefault="00DA10C4">
      <w:pPr>
        <w:pStyle w:val="Paragraphedeliste"/>
        <w:numPr>
          <w:ilvl w:val="0"/>
          <w:numId w:val="2"/>
        </w:numPr>
        <w:spacing w:after="60"/>
      </w:pPr>
      <w:r>
        <w:t>Un plan de formation détaillé couvrant l’intégralité du programme officiel ;</w:t>
      </w:r>
    </w:p>
    <w:p w14:paraId="2176D721" w14:textId="77777777" w:rsidR="0017711C" w:rsidRDefault="00DA10C4">
      <w:pPr>
        <w:pStyle w:val="Paragraphedeliste"/>
        <w:numPr>
          <w:ilvl w:val="0"/>
          <w:numId w:val="2"/>
        </w:numPr>
        <w:spacing w:after="60"/>
      </w:pPr>
      <w:r>
        <w:t>Un environnement de laboratoires pratiques (baies Huawei ou Huawei Storage Simulator) ;</w:t>
      </w:r>
    </w:p>
    <w:p w14:paraId="6727DCEF" w14:textId="77777777" w:rsidR="0017711C" w:rsidRDefault="00DA10C4">
      <w:pPr>
        <w:pStyle w:val="Paragraphedeliste"/>
        <w:numPr>
          <w:ilvl w:val="0"/>
          <w:numId w:val="2"/>
        </w:numPr>
        <w:spacing w:after="60"/>
      </w:pPr>
      <w:r>
        <w:t>Les supports pédagogiques officiels Huawei (courseware HCIA-Storage, guides de labs) ;</w:t>
      </w:r>
    </w:p>
    <w:p w14:paraId="7F53B5C1" w14:textId="77777777" w:rsidR="0017711C" w:rsidRDefault="00DA10C4">
      <w:pPr>
        <w:pStyle w:val="Paragraphedeliste"/>
        <w:numPr>
          <w:ilvl w:val="0"/>
          <w:numId w:val="2"/>
        </w:numPr>
        <w:spacing w:after="60"/>
      </w:pPr>
      <w:r>
        <w:t>La formation par un formateur certifié HCI spécialisé en stockage ;</w:t>
      </w:r>
    </w:p>
    <w:p w14:paraId="4970B3C2" w14:textId="77777777" w:rsidR="0017711C" w:rsidRDefault="00DA10C4">
      <w:pPr>
        <w:pStyle w:val="Paragraphedeliste"/>
        <w:numPr>
          <w:ilvl w:val="0"/>
          <w:numId w:val="2"/>
        </w:numPr>
        <w:spacing w:after="60"/>
      </w:pPr>
      <w:r>
        <w:t>L’organisation de sessions de révision et d’évaluations ;</w:t>
      </w:r>
    </w:p>
    <w:p w14:paraId="03AD030E" w14:textId="77777777" w:rsidR="0017711C" w:rsidRDefault="00DA10C4">
      <w:pPr>
        <w:pStyle w:val="Paragraphedeliste"/>
        <w:numPr>
          <w:ilvl w:val="0"/>
          <w:numId w:val="2"/>
        </w:numPr>
        <w:spacing w:after="60"/>
      </w:pPr>
      <w:r>
        <w:t>La remise d’une attestation de formation aux participants.</w:t>
      </w:r>
    </w:p>
    <w:p w14:paraId="1F5AE0F1" w14:textId="77777777" w:rsidR="0017711C" w:rsidRDefault="00DA10C4">
      <w:pPr>
        <w:pStyle w:val="Titre2"/>
      </w:pPr>
      <w:bookmarkStart w:id="47" w:name="_Toc227736947"/>
      <w:r>
        <w:t>8.4. Spécifications techniques</w:t>
      </w:r>
      <w:bookmarkEnd w:id="47"/>
    </w:p>
    <w:p w14:paraId="7C744182" w14:textId="77777777" w:rsidR="0017711C" w:rsidRDefault="00DA10C4">
      <w:pPr>
        <w:spacing w:after="120"/>
        <w:jc w:val="both"/>
      </w:pPr>
      <w:r>
        <w:t>La formation devra couvrir au minimum les modules suivants :</w:t>
      </w:r>
    </w:p>
    <w:p w14:paraId="13020EC4" w14:textId="77777777" w:rsidR="0017711C" w:rsidRDefault="00DA10C4">
      <w:pPr>
        <w:pStyle w:val="Paragraphedeliste"/>
        <w:numPr>
          <w:ilvl w:val="0"/>
          <w:numId w:val="2"/>
        </w:numPr>
        <w:spacing w:after="60"/>
      </w:pPr>
      <w:r>
        <w:t>Introduction aux infrastructures de stockage (DAS, NAS, SAN, Object Storage, écosystème Huawei OceanStor) ;</w:t>
      </w:r>
    </w:p>
    <w:p w14:paraId="50FD3677" w14:textId="77777777" w:rsidR="0017711C" w:rsidRPr="005B1070" w:rsidRDefault="00DA10C4">
      <w:pPr>
        <w:pStyle w:val="Paragraphedeliste"/>
        <w:numPr>
          <w:ilvl w:val="0"/>
          <w:numId w:val="2"/>
        </w:numPr>
        <w:spacing w:after="60"/>
        <w:rPr>
          <w:lang w:val="en-US"/>
        </w:rPr>
      </w:pPr>
      <w:r>
        <w:rPr>
          <w:lang w:val="en-US"/>
        </w:rPr>
        <w:t>Architectures SAN (Fibre Channel, iSCSI, FCoE, zoning, masking) ;</w:t>
      </w:r>
    </w:p>
    <w:p w14:paraId="1D1F5517" w14:textId="77777777" w:rsidR="0017711C" w:rsidRDefault="00DA10C4">
      <w:pPr>
        <w:pStyle w:val="Paragraphedeliste"/>
        <w:numPr>
          <w:ilvl w:val="0"/>
          <w:numId w:val="2"/>
        </w:numPr>
        <w:spacing w:after="60"/>
      </w:pPr>
      <w:r>
        <w:t>Architectures NAS (CIFS/SMB, NFS, NDMP, gestion des partages et quotas) ;</w:t>
      </w:r>
    </w:p>
    <w:p w14:paraId="56100F5F" w14:textId="77777777" w:rsidR="0017711C" w:rsidRDefault="00DA10C4">
      <w:pPr>
        <w:pStyle w:val="Paragraphedeliste"/>
        <w:numPr>
          <w:ilvl w:val="0"/>
          <w:numId w:val="2"/>
        </w:numPr>
        <w:spacing w:after="60"/>
      </w:pPr>
      <w:r>
        <w:t>Administration et configuration des baies Huawei (OceanStor DeviceManager, LUNs, Storage Pools, QoS) ;</w:t>
      </w:r>
    </w:p>
    <w:p w14:paraId="412A9C4F" w14:textId="77777777" w:rsidR="0017711C" w:rsidRDefault="00DA10C4">
      <w:pPr>
        <w:pStyle w:val="Paragraphedeliste"/>
        <w:numPr>
          <w:ilvl w:val="0"/>
          <w:numId w:val="2"/>
        </w:numPr>
        <w:spacing w:after="60"/>
      </w:pPr>
      <w:r>
        <w:t>Protection des données et sauvegarde (snapshots, réplication, Backup) ;</w:t>
      </w:r>
    </w:p>
    <w:p w14:paraId="1ABB52A6" w14:textId="77777777" w:rsidR="0017711C" w:rsidRDefault="00DA10C4">
      <w:pPr>
        <w:pStyle w:val="Paragraphedeliste"/>
        <w:numPr>
          <w:ilvl w:val="0"/>
          <w:numId w:val="2"/>
        </w:numPr>
        <w:spacing w:after="60"/>
      </w:pPr>
      <w:r>
        <w:t>Haute disponibilité et Disaster Recovery ;</w:t>
      </w:r>
    </w:p>
    <w:p w14:paraId="1F5E7CE1" w14:textId="77777777" w:rsidR="0017711C" w:rsidRDefault="00DA10C4">
      <w:pPr>
        <w:pStyle w:val="Paragraphedeliste"/>
        <w:numPr>
          <w:ilvl w:val="0"/>
          <w:numId w:val="2"/>
        </w:numPr>
        <w:spacing w:after="60"/>
      </w:pPr>
      <w:r>
        <w:t>Gestion du cycle de vie des données (tiering, archivage, déduplication, compression).</w:t>
      </w:r>
    </w:p>
    <w:p w14:paraId="06E97DA9" w14:textId="77777777" w:rsidR="0017711C" w:rsidRDefault="0017711C">
      <w:pPr>
        <w:spacing w:after="120"/>
      </w:pPr>
    </w:p>
    <w:p w14:paraId="46867F88" w14:textId="15B5FA62" w:rsidR="0017711C" w:rsidRDefault="00DA10C4">
      <w:pPr>
        <w:spacing w:after="120"/>
        <w:jc w:val="both"/>
      </w:pPr>
      <w:r>
        <w:rPr>
          <w:i/>
          <w:iCs/>
        </w:rPr>
        <w:t>Conforme au programme officiel Huawei HCIA-Storage, animée par un formateur certifié HCI spécialisé stockage, dispensée en français</w:t>
      </w:r>
      <w:r w:rsidR="00DC5A16">
        <w:rPr>
          <w:i/>
          <w:iCs/>
        </w:rPr>
        <w:t xml:space="preserve"> ou en anglais</w:t>
      </w:r>
      <w:r>
        <w:rPr>
          <w:i/>
          <w:iCs/>
        </w:rPr>
        <w:t>.</w:t>
      </w:r>
    </w:p>
    <w:p w14:paraId="30D754A8" w14:textId="77777777" w:rsidR="0017711C" w:rsidRDefault="00DA10C4">
      <w:r>
        <w:br w:type="page"/>
      </w:r>
    </w:p>
    <w:p w14:paraId="03E1738C" w14:textId="77777777" w:rsidR="001E1405" w:rsidRDefault="001E1405">
      <w:pPr>
        <w:pStyle w:val="Titre1"/>
        <w:pBdr>
          <w:bottom w:val="single" w:sz="6" w:space="4" w:color="2E75B6"/>
        </w:pBdr>
        <w:spacing w:before="480" w:after="300"/>
      </w:pPr>
    </w:p>
    <w:p w14:paraId="4FD7791D" w14:textId="2A290CEC" w:rsidR="0017711C" w:rsidRDefault="00DA10C4">
      <w:pPr>
        <w:pStyle w:val="Titre1"/>
        <w:pBdr>
          <w:bottom w:val="single" w:sz="6" w:space="4" w:color="2E75B6"/>
        </w:pBdr>
        <w:spacing w:before="480" w:after="300"/>
      </w:pPr>
      <w:bookmarkStart w:id="48" w:name="_Toc227736948"/>
      <w:r>
        <w:t>LOT 9 : Formation Oracle OCA (Oracle Certified Associate – Database Administration)</w:t>
      </w:r>
      <w:bookmarkEnd w:id="48"/>
    </w:p>
    <w:p w14:paraId="184E1D56" w14:textId="77777777" w:rsidR="0017711C" w:rsidRDefault="00DA10C4">
      <w:pPr>
        <w:pStyle w:val="Titre2"/>
      </w:pPr>
      <w:bookmarkStart w:id="49" w:name="_Toc227736949"/>
      <w:r>
        <w:t>9.1. Contexte et justification</w:t>
      </w:r>
      <w:bookmarkEnd w:id="49"/>
    </w:p>
    <w:p w14:paraId="07C830E1" w14:textId="717CA893" w:rsidR="0017711C" w:rsidRDefault="00DA10C4">
      <w:pPr>
        <w:spacing w:after="120"/>
        <w:jc w:val="both"/>
      </w:pPr>
      <w:r>
        <w:t>La formation Oracle Certified Associate (OCA) vise à renforcer les compétences fondamentales en administration et exploitation des bases de données Oracle, indispensables à la gestion sécurisée et performante des environnements critiques de la BVMAC. Elle permettra notamment aux collaborateurs de développer des compétences complémentaires utiles à la gestion des bases de données des applications métiers.</w:t>
      </w:r>
    </w:p>
    <w:p w14:paraId="2607E9E7" w14:textId="77777777" w:rsidR="0017711C" w:rsidRDefault="00DA10C4">
      <w:pPr>
        <w:spacing w:after="120"/>
        <w:jc w:val="both"/>
      </w:pPr>
      <w:r>
        <w:t>Dans un contexte stratégique et opérationnel, la formation Oracle OCA constitue un levier clé pour la maîtrise des bases de données critiques de la BVMAC, tout en posant les bases d’une réflexion éclairée sur la migration du NSCv900.</w:t>
      </w:r>
    </w:p>
    <w:p w14:paraId="18A5054F" w14:textId="77777777" w:rsidR="0017711C" w:rsidRDefault="00DA10C4">
      <w:pPr>
        <w:pStyle w:val="Titre2"/>
      </w:pPr>
      <w:bookmarkStart w:id="50" w:name="_Toc227736950"/>
      <w:r>
        <w:t>9.2. Objectifs du lot</w:t>
      </w:r>
      <w:bookmarkEnd w:id="50"/>
    </w:p>
    <w:p w14:paraId="0DC958A1" w14:textId="77777777" w:rsidR="0017711C" w:rsidRDefault="00DA10C4">
      <w:pPr>
        <w:pStyle w:val="Paragraphedeliste"/>
        <w:numPr>
          <w:ilvl w:val="0"/>
          <w:numId w:val="2"/>
        </w:numPr>
        <w:spacing w:after="60"/>
      </w:pPr>
      <w:r>
        <w:t>Installer, configurer et administrer une base de données Oracle en environnement de production ;</w:t>
      </w:r>
    </w:p>
    <w:p w14:paraId="0059E36C" w14:textId="77777777" w:rsidR="0017711C" w:rsidRDefault="00DA10C4">
      <w:pPr>
        <w:pStyle w:val="Paragraphedeliste"/>
        <w:numPr>
          <w:ilvl w:val="0"/>
          <w:numId w:val="2"/>
        </w:numPr>
        <w:spacing w:after="60"/>
      </w:pPr>
      <w:r>
        <w:t>Gérer les utilisateurs, privilèges et rôles pour garantir la sécurité des données ;</w:t>
      </w:r>
    </w:p>
    <w:p w14:paraId="13764BED" w14:textId="77777777" w:rsidR="0017711C" w:rsidRDefault="00DA10C4">
      <w:pPr>
        <w:pStyle w:val="Paragraphedeliste"/>
        <w:numPr>
          <w:ilvl w:val="0"/>
          <w:numId w:val="2"/>
        </w:numPr>
        <w:spacing w:after="60"/>
      </w:pPr>
      <w:r>
        <w:t>Assurer la sauvegarde, la restauration et la récupération des bases Oracle ;</w:t>
      </w:r>
    </w:p>
    <w:p w14:paraId="3C4B8496" w14:textId="77777777" w:rsidR="0017711C" w:rsidRDefault="00DA10C4">
      <w:pPr>
        <w:pStyle w:val="Paragraphedeliste"/>
        <w:numPr>
          <w:ilvl w:val="0"/>
          <w:numId w:val="2"/>
        </w:numPr>
        <w:spacing w:after="60"/>
      </w:pPr>
      <w:r>
        <w:t>Surveiller les performances, diagnostiquer les incidents et optimiser les environnements Oracle ;</w:t>
      </w:r>
    </w:p>
    <w:p w14:paraId="382A4D42" w14:textId="777348A2" w:rsidR="0017711C" w:rsidRDefault="00DA10C4">
      <w:pPr>
        <w:pStyle w:val="Paragraphedeliste"/>
        <w:numPr>
          <w:ilvl w:val="0"/>
          <w:numId w:val="2"/>
        </w:numPr>
        <w:spacing w:after="60"/>
      </w:pPr>
      <w:r>
        <w:t>Conduire une étude en vue d’une potentielle migration de la base de données actuelle vers une version plus évoluée.</w:t>
      </w:r>
    </w:p>
    <w:p w14:paraId="49E2B611" w14:textId="77777777" w:rsidR="0017711C" w:rsidRDefault="00DA10C4">
      <w:pPr>
        <w:pStyle w:val="Titre2"/>
      </w:pPr>
      <w:bookmarkStart w:id="51" w:name="_Toc227736951"/>
      <w:r>
        <w:t>9.3. Définition des travaux</w:t>
      </w:r>
      <w:bookmarkEnd w:id="51"/>
    </w:p>
    <w:p w14:paraId="196F82E5" w14:textId="77777777" w:rsidR="0017711C" w:rsidRDefault="00DA10C4">
      <w:pPr>
        <w:spacing w:after="120"/>
        <w:jc w:val="both"/>
      </w:pPr>
      <w:r>
        <w:t>Le prestataire retenu devra assurer :</w:t>
      </w:r>
    </w:p>
    <w:p w14:paraId="65FD4110" w14:textId="77777777" w:rsidR="0017711C" w:rsidRDefault="00DA10C4">
      <w:pPr>
        <w:pStyle w:val="Paragraphedeliste"/>
        <w:numPr>
          <w:ilvl w:val="0"/>
          <w:numId w:val="2"/>
        </w:numPr>
        <w:spacing w:after="60"/>
      </w:pPr>
      <w:r>
        <w:t>La formation officielle Oracle OCA (Oracle University) ;</w:t>
      </w:r>
    </w:p>
    <w:p w14:paraId="3FB5F3A8" w14:textId="77777777" w:rsidR="0017711C" w:rsidRDefault="00DA10C4">
      <w:pPr>
        <w:pStyle w:val="Paragraphedeliste"/>
        <w:numPr>
          <w:ilvl w:val="0"/>
          <w:numId w:val="2"/>
        </w:numPr>
        <w:spacing w:after="60"/>
      </w:pPr>
      <w:r>
        <w:t>Un plan de formation détaillé couvrant l’intégralité du programme officiel ;</w:t>
      </w:r>
    </w:p>
    <w:p w14:paraId="42513CA3" w14:textId="77777777" w:rsidR="0017711C" w:rsidRDefault="00DA10C4">
      <w:pPr>
        <w:pStyle w:val="Paragraphedeliste"/>
        <w:numPr>
          <w:ilvl w:val="0"/>
          <w:numId w:val="2"/>
        </w:numPr>
        <w:spacing w:after="60"/>
      </w:pPr>
      <w:r>
        <w:t>Un environnement de laboratoires pratiques (instances Oracle dédiées ou VM) ;</w:t>
      </w:r>
    </w:p>
    <w:p w14:paraId="4190136E" w14:textId="77777777" w:rsidR="0017711C" w:rsidRDefault="00DA10C4">
      <w:pPr>
        <w:pStyle w:val="Paragraphedeliste"/>
        <w:numPr>
          <w:ilvl w:val="0"/>
          <w:numId w:val="2"/>
        </w:numPr>
        <w:spacing w:after="60"/>
      </w:pPr>
      <w:r>
        <w:t>Les supports pédagogiques officiels Oracle University (courseware, Oracle Learning Subscriptions) ;</w:t>
      </w:r>
    </w:p>
    <w:p w14:paraId="4F46311C" w14:textId="77777777" w:rsidR="0017711C" w:rsidRDefault="00DA10C4">
      <w:pPr>
        <w:pStyle w:val="Paragraphedeliste"/>
        <w:numPr>
          <w:ilvl w:val="0"/>
          <w:numId w:val="2"/>
        </w:numPr>
        <w:spacing w:after="60"/>
      </w:pPr>
      <w:r>
        <w:t>La formation par un formateur certifié Oracle Certified Trainer (OCT) ou agréé Oracle University ;</w:t>
      </w:r>
    </w:p>
    <w:p w14:paraId="52D6EA52" w14:textId="77777777" w:rsidR="0017711C" w:rsidRDefault="00DA10C4">
      <w:pPr>
        <w:pStyle w:val="Paragraphedeliste"/>
        <w:numPr>
          <w:ilvl w:val="0"/>
          <w:numId w:val="2"/>
        </w:numPr>
        <w:spacing w:after="60"/>
      </w:pPr>
      <w:r>
        <w:t>L’organisation de sessions de révision et d’évaluations ;</w:t>
      </w:r>
    </w:p>
    <w:p w14:paraId="19E81BE4" w14:textId="4D740867" w:rsidR="0017711C" w:rsidRDefault="00DA10C4">
      <w:pPr>
        <w:pStyle w:val="Paragraphedeliste"/>
        <w:numPr>
          <w:ilvl w:val="0"/>
          <w:numId w:val="2"/>
        </w:numPr>
        <w:spacing w:after="60"/>
      </w:pPr>
      <w:r>
        <w:t>Le transfert de compétences vers les équipes internes.</w:t>
      </w:r>
    </w:p>
    <w:p w14:paraId="7882B3F8" w14:textId="77777777" w:rsidR="0017711C" w:rsidRDefault="00DA10C4">
      <w:pPr>
        <w:pStyle w:val="Titre2"/>
      </w:pPr>
      <w:bookmarkStart w:id="52" w:name="_Toc227736952"/>
      <w:r>
        <w:t>9.4. Spécifications techniques</w:t>
      </w:r>
      <w:bookmarkEnd w:id="52"/>
    </w:p>
    <w:p w14:paraId="493F2F7F" w14:textId="77777777" w:rsidR="0017711C" w:rsidRDefault="00DA10C4">
      <w:pPr>
        <w:spacing w:after="120"/>
        <w:jc w:val="both"/>
      </w:pPr>
      <w:r>
        <w:t>La formation devra couvrir au minimum les modules suivants :</w:t>
      </w:r>
    </w:p>
    <w:p w14:paraId="180E0576" w14:textId="77777777" w:rsidR="0017711C" w:rsidRDefault="00DA10C4">
      <w:pPr>
        <w:pStyle w:val="Paragraphedeliste"/>
        <w:numPr>
          <w:ilvl w:val="0"/>
          <w:numId w:val="2"/>
        </w:numPr>
        <w:spacing w:after="60"/>
      </w:pPr>
      <w:r>
        <w:t>Architecture Oracle Database (structure physique/logique, SGA/PGA, fichiers redo log, tablespaces) ;</w:t>
      </w:r>
    </w:p>
    <w:p w14:paraId="6CF4500A" w14:textId="77777777" w:rsidR="0017711C" w:rsidRDefault="00DA10C4">
      <w:pPr>
        <w:pStyle w:val="Paragraphedeliste"/>
        <w:numPr>
          <w:ilvl w:val="0"/>
          <w:numId w:val="2"/>
        </w:numPr>
        <w:spacing w:after="60"/>
      </w:pPr>
      <w:r>
        <w:t>Installation et configuration Oracle (OUI, DBCA, gestion des instances) ;</w:t>
      </w:r>
    </w:p>
    <w:p w14:paraId="73AF771B" w14:textId="77777777" w:rsidR="0017711C" w:rsidRDefault="00DA10C4">
      <w:pPr>
        <w:pStyle w:val="Paragraphedeliste"/>
        <w:numPr>
          <w:ilvl w:val="0"/>
          <w:numId w:val="2"/>
        </w:numPr>
        <w:spacing w:after="60"/>
      </w:pPr>
      <w:r>
        <w:t>Gestion des utilisateurs, privilèges, rôles et profils ;</w:t>
      </w:r>
    </w:p>
    <w:p w14:paraId="2D79412B" w14:textId="77777777" w:rsidR="0017711C" w:rsidRDefault="00DA10C4">
      <w:pPr>
        <w:pStyle w:val="Paragraphedeliste"/>
        <w:numPr>
          <w:ilvl w:val="0"/>
          <w:numId w:val="2"/>
        </w:numPr>
        <w:spacing w:after="60"/>
      </w:pPr>
      <w:r>
        <w:t>Gestion du stockage (tablespaces, segments, extents, blocs Oracle) ;</w:t>
      </w:r>
    </w:p>
    <w:p w14:paraId="1FC5D9ED" w14:textId="77777777" w:rsidR="0017711C" w:rsidRDefault="00DA10C4">
      <w:pPr>
        <w:pStyle w:val="Paragraphedeliste"/>
        <w:numPr>
          <w:ilvl w:val="0"/>
          <w:numId w:val="2"/>
        </w:numPr>
        <w:spacing w:after="60"/>
      </w:pPr>
      <w:r>
        <w:t>Sauvegarde et restauration Oracle (RMAN, Data Pump, Export/Import) ;</w:t>
      </w:r>
    </w:p>
    <w:p w14:paraId="044621A2" w14:textId="77777777" w:rsidR="0017711C" w:rsidRDefault="00DA10C4">
      <w:pPr>
        <w:pStyle w:val="Paragraphedeliste"/>
        <w:numPr>
          <w:ilvl w:val="0"/>
          <w:numId w:val="2"/>
        </w:numPr>
        <w:spacing w:after="60"/>
      </w:pPr>
      <w:r>
        <w:t>Supervision des performances (AWR, ADDM, ASH) ;</w:t>
      </w:r>
    </w:p>
    <w:p w14:paraId="1184F0BD" w14:textId="77777777" w:rsidR="0017711C" w:rsidRDefault="00DA10C4">
      <w:pPr>
        <w:pStyle w:val="Paragraphedeliste"/>
        <w:numPr>
          <w:ilvl w:val="0"/>
          <w:numId w:val="2"/>
        </w:numPr>
        <w:spacing w:after="60"/>
      </w:pPr>
      <w:r>
        <w:t>Connectivité réseau Oracle (Oracle Net Services, TNS Listener) ;</w:t>
      </w:r>
    </w:p>
    <w:p w14:paraId="34142E92" w14:textId="77777777" w:rsidR="0017711C" w:rsidRDefault="00DA10C4">
      <w:pPr>
        <w:pStyle w:val="Paragraphedeliste"/>
        <w:numPr>
          <w:ilvl w:val="0"/>
          <w:numId w:val="2"/>
        </w:numPr>
        <w:spacing w:after="60"/>
      </w:pPr>
      <w:r>
        <w:t>Déploiement et gestion des correctifs Oracle (OPatch).</w:t>
      </w:r>
    </w:p>
    <w:p w14:paraId="054B5B74" w14:textId="77777777" w:rsidR="0017711C" w:rsidRDefault="0017711C">
      <w:pPr>
        <w:spacing w:after="120"/>
      </w:pPr>
    </w:p>
    <w:p w14:paraId="37001E66" w14:textId="20BFF702" w:rsidR="0017711C" w:rsidRDefault="00DA10C4">
      <w:pPr>
        <w:spacing w:after="120"/>
        <w:jc w:val="both"/>
      </w:pPr>
      <w:r>
        <w:rPr>
          <w:i/>
          <w:iCs/>
        </w:rPr>
        <w:t>Conforme au programme officiel Oracle OCA – Database Administration (Oracle University), animée par un formateur OCT certifié, dispensée en français</w:t>
      </w:r>
      <w:r w:rsidR="00032B90">
        <w:rPr>
          <w:i/>
          <w:iCs/>
        </w:rPr>
        <w:t xml:space="preserve"> ou en anglais</w:t>
      </w:r>
      <w:r>
        <w:rPr>
          <w:i/>
          <w:iCs/>
        </w:rPr>
        <w:t>.</w:t>
      </w:r>
    </w:p>
    <w:p w14:paraId="1A9AFDCF" w14:textId="77777777" w:rsidR="0017711C" w:rsidRDefault="00DA10C4">
      <w:r>
        <w:br w:type="page"/>
      </w:r>
    </w:p>
    <w:p w14:paraId="3EFC1E09" w14:textId="77777777" w:rsidR="001E1405" w:rsidRDefault="001E1405">
      <w:pPr>
        <w:pStyle w:val="Titre1"/>
        <w:pBdr>
          <w:bottom w:val="single" w:sz="6" w:space="4" w:color="2E75B6"/>
        </w:pBdr>
        <w:spacing w:before="480" w:after="300"/>
      </w:pPr>
    </w:p>
    <w:p w14:paraId="47079E01" w14:textId="7B1A675C" w:rsidR="0017711C" w:rsidRDefault="00DA10C4">
      <w:pPr>
        <w:pStyle w:val="Titre1"/>
        <w:pBdr>
          <w:bottom w:val="single" w:sz="6" w:space="4" w:color="2E75B6"/>
        </w:pBdr>
        <w:spacing w:before="480" w:after="300"/>
      </w:pPr>
      <w:bookmarkStart w:id="53" w:name="_Toc227736953"/>
      <w:r>
        <w:t>LOT 10 : Formation en Administration Microsoft SQL Server</w:t>
      </w:r>
      <w:bookmarkEnd w:id="53"/>
    </w:p>
    <w:p w14:paraId="0A4561DC" w14:textId="77777777" w:rsidR="0017711C" w:rsidRDefault="00DA10C4">
      <w:pPr>
        <w:pStyle w:val="Titre2"/>
      </w:pPr>
      <w:bookmarkStart w:id="54" w:name="_Toc227736954"/>
      <w:r>
        <w:t>10.1. Contexte et justification</w:t>
      </w:r>
      <w:bookmarkEnd w:id="54"/>
    </w:p>
    <w:p w14:paraId="22C7F211" w14:textId="77777777" w:rsidR="0017711C" w:rsidRDefault="00DA10C4">
      <w:pPr>
        <w:spacing w:after="120"/>
        <w:jc w:val="both"/>
      </w:pPr>
      <w:r>
        <w:t>La formation en administration Microsoft SQL Server vise à sécuriser l’exploitation des bases de données critiques de la BVMAC et à réduire la dépendance aux prestataires externes. Elle permettra notamment aux collaborateurs formés de mieux exploiter les bases de données de SAGE COMPTA &amp; SAGE PAIE, et leur apportera la capacité d’optimiser et d’améliorer la gestion de ces bases de données stratégiques.</w:t>
      </w:r>
    </w:p>
    <w:p w14:paraId="6B9E320B" w14:textId="77777777" w:rsidR="0017711C" w:rsidRDefault="00DA10C4">
      <w:pPr>
        <w:spacing w:after="120"/>
        <w:jc w:val="both"/>
      </w:pPr>
      <w:r>
        <w:t>Dans un contexte de maîtrise opérationnelle et de souveraineté technique, cette formation constitue un levier stratégique pour la BVMAC, permettant de renforcer l’autonomie des équipes de la DSI dans la gestion des bases de données critiques.</w:t>
      </w:r>
    </w:p>
    <w:p w14:paraId="2EF2AEDB" w14:textId="77777777" w:rsidR="0017711C" w:rsidRDefault="00DA10C4">
      <w:pPr>
        <w:pStyle w:val="Titre2"/>
      </w:pPr>
      <w:bookmarkStart w:id="55" w:name="_Toc227736955"/>
      <w:r>
        <w:t>10.2. Objectifs du lot</w:t>
      </w:r>
      <w:bookmarkEnd w:id="55"/>
    </w:p>
    <w:p w14:paraId="2F2ADFE7" w14:textId="77777777" w:rsidR="0017711C" w:rsidRDefault="00DA10C4">
      <w:pPr>
        <w:pStyle w:val="Paragraphedeliste"/>
        <w:numPr>
          <w:ilvl w:val="0"/>
          <w:numId w:val="2"/>
        </w:numPr>
        <w:spacing w:after="60"/>
      </w:pPr>
      <w:r>
        <w:t>Installer, configurer et administrer Microsoft SQL Server en environnement de production ;</w:t>
      </w:r>
    </w:p>
    <w:p w14:paraId="1ADC5A51" w14:textId="77777777" w:rsidR="0017711C" w:rsidRDefault="00DA10C4">
      <w:pPr>
        <w:pStyle w:val="Paragraphedeliste"/>
        <w:numPr>
          <w:ilvl w:val="0"/>
          <w:numId w:val="2"/>
        </w:numPr>
        <w:spacing w:after="60"/>
      </w:pPr>
      <w:r>
        <w:t>Gérer la sécurité des bases de données : utilisateurs, rôles, permissions et politiques d’accès ;</w:t>
      </w:r>
    </w:p>
    <w:p w14:paraId="12818E26" w14:textId="77777777" w:rsidR="0017711C" w:rsidRDefault="00DA10C4">
      <w:pPr>
        <w:pStyle w:val="Paragraphedeliste"/>
        <w:numPr>
          <w:ilvl w:val="0"/>
          <w:numId w:val="2"/>
        </w:numPr>
        <w:spacing w:after="60"/>
      </w:pPr>
      <w:r>
        <w:t>Mettre en œuvre des stratégies de sauvegarde, de restauration et de reprise après sinistre ;</w:t>
      </w:r>
    </w:p>
    <w:p w14:paraId="0F370E8A" w14:textId="77777777" w:rsidR="0017711C" w:rsidRDefault="00DA10C4">
      <w:pPr>
        <w:pStyle w:val="Paragraphedeliste"/>
        <w:numPr>
          <w:ilvl w:val="0"/>
          <w:numId w:val="2"/>
        </w:numPr>
        <w:spacing w:after="60"/>
      </w:pPr>
      <w:r>
        <w:t>Superviser les performances, diagnostiquer les incidents et optimiser les requêtes SQL Server ;</w:t>
      </w:r>
    </w:p>
    <w:p w14:paraId="4E358997" w14:textId="50546966" w:rsidR="0017711C" w:rsidRDefault="00DA10C4">
      <w:pPr>
        <w:pStyle w:val="Paragraphedeliste"/>
        <w:numPr>
          <w:ilvl w:val="0"/>
          <w:numId w:val="2"/>
        </w:numPr>
        <w:spacing w:after="60"/>
      </w:pPr>
      <w:r>
        <w:t>Assurer la maintenance, les mises à jour et la haute disponibilité des bases de données de production.</w:t>
      </w:r>
    </w:p>
    <w:p w14:paraId="76EC4E4D" w14:textId="77777777" w:rsidR="0017711C" w:rsidRDefault="00DA10C4">
      <w:pPr>
        <w:pStyle w:val="Titre2"/>
      </w:pPr>
      <w:bookmarkStart w:id="56" w:name="_Toc227736956"/>
      <w:r>
        <w:t>10.3. Définition des travaux</w:t>
      </w:r>
      <w:bookmarkEnd w:id="56"/>
    </w:p>
    <w:p w14:paraId="6284E81E" w14:textId="77777777" w:rsidR="0017711C" w:rsidRDefault="00DA10C4">
      <w:pPr>
        <w:spacing w:after="120"/>
        <w:jc w:val="both"/>
      </w:pPr>
      <w:r>
        <w:t>Le prestataire retenu devra assurer :</w:t>
      </w:r>
    </w:p>
    <w:p w14:paraId="1FC9A263" w14:textId="77777777" w:rsidR="0017711C" w:rsidRDefault="00DA10C4">
      <w:pPr>
        <w:pStyle w:val="Paragraphedeliste"/>
        <w:numPr>
          <w:ilvl w:val="0"/>
          <w:numId w:val="2"/>
        </w:numPr>
        <w:spacing w:after="60"/>
      </w:pPr>
      <w:r>
        <w:t>La formation et l’accompagnement à l’administration Microsoft SQL Server ;</w:t>
      </w:r>
    </w:p>
    <w:p w14:paraId="1567817D" w14:textId="77777777" w:rsidR="0017711C" w:rsidRDefault="00DA10C4">
      <w:pPr>
        <w:pStyle w:val="Paragraphedeliste"/>
        <w:numPr>
          <w:ilvl w:val="0"/>
          <w:numId w:val="2"/>
        </w:numPr>
        <w:spacing w:after="60"/>
      </w:pPr>
      <w:r>
        <w:t>Un plan de formation détaillé structuré par modules et par journées ;</w:t>
      </w:r>
    </w:p>
    <w:p w14:paraId="3EDF63DD" w14:textId="77777777" w:rsidR="0017711C" w:rsidRDefault="00DA10C4">
      <w:pPr>
        <w:pStyle w:val="Paragraphedeliste"/>
        <w:numPr>
          <w:ilvl w:val="0"/>
          <w:numId w:val="2"/>
        </w:numPr>
        <w:spacing w:after="60"/>
      </w:pPr>
      <w:r>
        <w:t>Un environnement de laboratoires pratiques (instances SQL Server dédiées ou VM) ;</w:t>
      </w:r>
    </w:p>
    <w:p w14:paraId="1B06EBC1" w14:textId="77777777" w:rsidR="0017711C" w:rsidRDefault="00DA10C4">
      <w:pPr>
        <w:pStyle w:val="Paragraphedeliste"/>
        <w:numPr>
          <w:ilvl w:val="0"/>
          <w:numId w:val="2"/>
        </w:numPr>
        <w:spacing w:after="60"/>
      </w:pPr>
      <w:r>
        <w:t>Les supports pédagogiques complets (guides, manuels, scripts SQL de référence) ;</w:t>
      </w:r>
    </w:p>
    <w:p w14:paraId="738F161D" w14:textId="77777777" w:rsidR="0017711C" w:rsidRDefault="00DA10C4">
      <w:pPr>
        <w:pStyle w:val="Paragraphedeliste"/>
        <w:numPr>
          <w:ilvl w:val="0"/>
          <w:numId w:val="2"/>
        </w:numPr>
        <w:spacing w:after="60"/>
      </w:pPr>
      <w:r>
        <w:t>La formation par un formateur expert Microsoft SQL Server certifié (Azure Database Administrator Associate ou équivalent) ;</w:t>
      </w:r>
    </w:p>
    <w:p w14:paraId="53504FEB" w14:textId="77777777" w:rsidR="0017711C" w:rsidRDefault="00DA10C4">
      <w:pPr>
        <w:pStyle w:val="Paragraphedeliste"/>
        <w:numPr>
          <w:ilvl w:val="0"/>
          <w:numId w:val="2"/>
        </w:numPr>
        <w:spacing w:after="60"/>
      </w:pPr>
      <w:r>
        <w:t>L’organisation de sessions de révision et d’évaluations formatives ;</w:t>
      </w:r>
    </w:p>
    <w:p w14:paraId="4B16CE1A" w14:textId="77777777" w:rsidR="0017711C" w:rsidRDefault="00DA10C4">
      <w:pPr>
        <w:pStyle w:val="Paragraphedeliste"/>
        <w:numPr>
          <w:ilvl w:val="0"/>
          <w:numId w:val="2"/>
        </w:numPr>
        <w:spacing w:after="60"/>
      </w:pPr>
      <w:r>
        <w:t>La remise d’une attestation de formation aux participants.</w:t>
      </w:r>
    </w:p>
    <w:p w14:paraId="44ED8C38" w14:textId="77777777" w:rsidR="0017711C" w:rsidRDefault="00DA10C4">
      <w:pPr>
        <w:pStyle w:val="Titre2"/>
      </w:pPr>
      <w:bookmarkStart w:id="57" w:name="_Toc227736957"/>
      <w:r>
        <w:t>10.4. Spécifications techniques</w:t>
      </w:r>
      <w:bookmarkEnd w:id="57"/>
    </w:p>
    <w:p w14:paraId="682912D6" w14:textId="77777777" w:rsidR="0017711C" w:rsidRDefault="00DA10C4">
      <w:pPr>
        <w:spacing w:after="120"/>
        <w:jc w:val="both"/>
      </w:pPr>
      <w:r>
        <w:t>La formation devra couvrir au minimum les modules suivants :</w:t>
      </w:r>
    </w:p>
    <w:p w14:paraId="0AC49B6C" w14:textId="77777777" w:rsidR="0017711C" w:rsidRDefault="00DA10C4">
      <w:pPr>
        <w:pStyle w:val="Paragraphedeliste"/>
        <w:numPr>
          <w:ilvl w:val="0"/>
          <w:numId w:val="2"/>
        </w:numPr>
        <w:spacing w:after="60"/>
      </w:pPr>
      <w:r>
        <w:t>Architecture Microsoft SQL Server (moteur, services, fichiers MDF/LDF/NDF, instances) ;</w:t>
      </w:r>
    </w:p>
    <w:p w14:paraId="338B457E" w14:textId="77777777" w:rsidR="0017711C" w:rsidRDefault="00DA10C4">
      <w:pPr>
        <w:pStyle w:val="Paragraphedeliste"/>
        <w:numPr>
          <w:ilvl w:val="0"/>
          <w:numId w:val="2"/>
        </w:numPr>
        <w:spacing w:after="60"/>
      </w:pPr>
      <w:r>
        <w:t>Installation et configuration de SQL Server ;</w:t>
      </w:r>
    </w:p>
    <w:p w14:paraId="00F5C2A7" w14:textId="77777777" w:rsidR="0017711C" w:rsidRDefault="00DA10C4">
      <w:pPr>
        <w:pStyle w:val="Paragraphedeliste"/>
        <w:numPr>
          <w:ilvl w:val="0"/>
          <w:numId w:val="2"/>
        </w:numPr>
        <w:spacing w:after="60"/>
      </w:pPr>
      <w:r>
        <w:t>Création et gestion des bases de données ;</w:t>
      </w:r>
    </w:p>
    <w:p w14:paraId="6F3925E8" w14:textId="77777777" w:rsidR="0017711C" w:rsidRDefault="00DA10C4">
      <w:pPr>
        <w:pStyle w:val="Paragraphedeliste"/>
        <w:numPr>
          <w:ilvl w:val="0"/>
          <w:numId w:val="2"/>
        </w:numPr>
        <w:spacing w:after="60"/>
      </w:pPr>
      <w:r>
        <w:t>Sécurité SQL Server (connexions, utilisateurs, rôles, permissions, audit) ;</w:t>
      </w:r>
    </w:p>
    <w:p w14:paraId="7E7019AF" w14:textId="77777777" w:rsidR="0017711C" w:rsidRDefault="00DA10C4">
      <w:pPr>
        <w:pStyle w:val="Paragraphedeliste"/>
        <w:numPr>
          <w:ilvl w:val="0"/>
          <w:numId w:val="2"/>
        </w:numPr>
        <w:spacing w:after="60"/>
      </w:pPr>
      <w:r>
        <w:t>Sauvegarde et restauration (complète, différentielle, journaux de transactions) ;</w:t>
      </w:r>
    </w:p>
    <w:p w14:paraId="2D96433D" w14:textId="77777777" w:rsidR="0017711C" w:rsidRDefault="00DA10C4">
      <w:pPr>
        <w:pStyle w:val="Paragraphedeliste"/>
        <w:numPr>
          <w:ilvl w:val="0"/>
          <w:numId w:val="2"/>
        </w:numPr>
        <w:spacing w:after="60"/>
      </w:pPr>
      <w:r>
        <w:t>Surveillance et optimisation des performances (Profiler, Activity Monitor, Query Store, index) ;</w:t>
      </w:r>
    </w:p>
    <w:p w14:paraId="789E4DF4" w14:textId="77777777" w:rsidR="0017711C" w:rsidRDefault="00DA10C4">
      <w:pPr>
        <w:pStyle w:val="Paragraphedeliste"/>
        <w:numPr>
          <w:ilvl w:val="0"/>
          <w:numId w:val="2"/>
        </w:numPr>
        <w:spacing w:after="60"/>
      </w:pPr>
      <w:r>
        <w:t>Haute disponibilité et reprise après sinistre (Always On, Log Shipping, Mirroring) ;</w:t>
      </w:r>
    </w:p>
    <w:p w14:paraId="6C217ED3" w14:textId="77777777" w:rsidR="0017711C" w:rsidRDefault="00DA10C4">
      <w:pPr>
        <w:pStyle w:val="Paragraphedeliste"/>
        <w:numPr>
          <w:ilvl w:val="0"/>
          <w:numId w:val="2"/>
        </w:numPr>
        <w:spacing w:after="60"/>
      </w:pPr>
      <w:r>
        <w:t>Automatisation et planification (SQL Server Agent, SSIS, plans de maintenance).</w:t>
      </w:r>
    </w:p>
    <w:p w14:paraId="5C0B6826" w14:textId="77777777" w:rsidR="0017711C" w:rsidRDefault="0017711C">
      <w:pPr>
        <w:spacing w:after="120"/>
      </w:pPr>
    </w:p>
    <w:p w14:paraId="3CA7719E" w14:textId="2329239D" w:rsidR="0017711C" w:rsidRDefault="00DA10C4">
      <w:pPr>
        <w:spacing w:after="120"/>
        <w:jc w:val="both"/>
      </w:pPr>
      <w:r>
        <w:rPr>
          <w:i/>
          <w:iCs/>
        </w:rPr>
        <w:t>Conforme au programme Microsoft SQL Server Administration, animée par un formateur certifié Microsoft, dispensée en français</w:t>
      </w:r>
      <w:r w:rsidR="00E11249">
        <w:rPr>
          <w:i/>
          <w:iCs/>
        </w:rPr>
        <w:t xml:space="preserve"> ou en anglais</w:t>
      </w:r>
      <w:r>
        <w:rPr>
          <w:i/>
          <w:iCs/>
        </w:rPr>
        <w:t>.</w:t>
      </w:r>
    </w:p>
    <w:p w14:paraId="7EBE7EE1" w14:textId="77777777" w:rsidR="0017711C" w:rsidRDefault="00DA10C4">
      <w:r>
        <w:br w:type="page"/>
      </w:r>
    </w:p>
    <w:p w14:paraId="0027B867" w14:textId="77777777" w:rsidR="001E1405" w:rsidRDefault="001E1405">
      <w:pPr>
        <w:pStyle w:val="Titre1"/>
        <w:pBdr>
          <w:bottom w:val="single" w:sz="6" w:space="4" w:color="2E75B6"/>
        </w:pBdr>
        <w:spacing w:before="480" w:after="300"/>
      </w:pPr>
    </w:p>
    <w:p w14:paraId="6D167EB0" w14:textId="691906D3" w:rsidR="0017711C" w:rsidRDefault="00DA10C4">
      <w:pPr>
        <w:pStyle w:val="Titre1"/>
        <w:pBdr>
          <w:bottom w:val="single" w:sz="6" w:space="4" w:color="2E75B6"/>
        </w:pBdr>
        <w:spacing w:before="480" w:after="300"/>
      </w:pPr>
      <w:bookmarkStart w:id="58" w:name="_Toc227736958"/>
      <w:r>
        <w:t>LOT 11 : Formation ISO 22301 Lead Implementer (PCA/PRA)</w:t>
      </w:r>
      <w:bookmarkEnd w:id="58"/>
    </w:p>
    <w:p w14:paraId="13071702" w14:textId="77777777" w:rsidR="0017711C" w:rsidRDefault="00DA10C4">
      <w:pPr>
        <w:pStyle w:val="Titre2"/>
      </w:pPr>
      <w:bookmarkStart w:id="59" w:name="_Toc227736959"/>
      <w:r>
        <w:t>11.1. Contexte et justification</w:t>
      </w:r>
      <w:bookmarkEnd w:id="59"/>
    </w:p>
    <w:p w14:paraId="120A5EF4" w14:textId="77777777" w:rsidR="0017711C" w:rsidRDefault="00DA10C4">
      <w:pPr>
        <w:spacing w:after="120"/>
        <w:jc w:val="both"/>
      </w:pPr>
      <w:r>
        <w:t>La formation ISO 22301 Lead Implementer vise à doter la DSI des compétences nécessaires pour concevoir, mettre en œuvre, maintenir et améliorer un Système de Management de la Continuité d’Activité (SMCA) conforme à la norme internationale ISO 22301. Cette formation constitue un levier stratégique pour renforcer la résilience organisationnelle de la BVMAC face aux crises et perturbations majeures.</w:t>
      </w:r>
    </w:p>
    <w:p w14:paraId="32E96519" w14:textId="77777777" w:rsidR="0017711C" w:rsidRDefault="00DA10C4">
      <w:pPr>
        <w:spacing w:after="120"/>
        <w:jc w:val="both"/>
      </w:pPr>
      <w:r>
        <w:t>Dans un contexte de gouvernance des risques et de continuité opérationnelle, la formation ISO 22301 Lead Implementer constitue un levier essentiel pour la BVMAC, en intégrant la continuité d’activité aux démarches normatives existantes (ISO 27001, ISO 31000).</w:t>
      </w:r>
    </w:p>
    <w:p w14:paraId="3ED83B3C" w14:textId="77777777" w:rsidR="0017711C" w:rsidRDefault="00DA10C4">
      <w:pPr>
        <w:pStyle w:val="Titre2"/>
      </w:pPr>
      <w:bookmarkStart w:id="60" w:name="_Toc227736960"/>
      <w:r>
        <w:t>11.2. Objectifs du lot</w:t>
      </w:r>
      <w:bookmarkEnd w:id="60"/>
    </w:p>
    <w:p w14:paraId="08654DC2" w14:textId="77777777" w:rsidR="0017711C" w:rsidRDefault="00DA10C4">
      <w:pPr>
        <w:pStyle w:val="Paragraphedeliste"/>
        <w:numPr>
          <w:ilvl w:val="0"/>
          <w:numId w:val="2"/>
        </w:numPr>
        <w:spacing w:after="60"/>
      </w:pPr>
      <w:r>
        <w:t>Comprendre les exigences de la norme ISO 22301 et les bonnes pratiques de continuité d’activité ;</w:t>
      </w:r>
    </w:p>
    <w:p w14:paraId="3164C09A" w14:textId="77777777" w:rsidR="0017711C" w:rsidRDefault="00DA10C4">
      <w:pPr>
        <w:pStyle w:val="Paragraphedeliste"/>
        <w:numPr>
          <w:ilvl w:val="0"/>
          <w:numId w:val="2"/>
        </w:numPr>
        <w:spacing w:after="60"/>
      </w:pPr>
      <w:r>
        <w:t>Concevoir et implémenter un Plan de Continuité d’Activité (PCA) et un Plan de Reprise d’Activité (PRA) adaptés ;</w:t>
      </w:r>
    </w:p>
    <w:p w14:paraId="013DA579" w14:textId="77777777" w:rsidR="0017711C" w:rsidRDefault="00DA10C4">
      <w:pPr>
        <w:pStyle w:val="Paragraphedeliste"/>
        <w:numPr>
          <w:ilvl w:val="0"/>
          <w:numId w:val="2"/>
        </w:numPr>
        <w:spacing w:after="60"/>
      </w:pPr>
      <w:r>
        <w:t>Réaliser des analyses d’impact métier (BIA) et évaluer les risques liés aux interruptions ;</w:t>
      </w:r>
    </w:p>
    <w:p w14:paraId="3501B80C" w14:textId="77777777" w:rsidR="0017711C" w:rsidRDefault="00DA10C4">
      <w:pPr>
        <w:pStyle w:val="Paragraphedeliste"/>
        <w:numPr>
          <w:ilvl w:val="0"/>
          <w:numId w:val="2"/>
        </w:numPr>
        <w:spacing w:after="60"/>
      </w:pPr>
      <w:r>
        <w:t>Gérer les incidents et piloter les exercices et tests de continuité ;</w:t>
      </w:r>
    </w:p>
    <w:p w14:paraId="1DFE7AD5" w14:textId="77777777" w:rsidR="0017711C" w:rsidRDefault="00DA10C4">
      <w:pPr>
        <w:pStyle w:val="Paragraphedeliste"/>
        <w:numPr>
          <w:ilvl w:val="0"/>
          <w:numId w:val="2"/>
        </w:numPr>
        <w:spacing w:after="60"/>
      </w:pPr>
      <w:r>
        <w:t>Assurer la conformité réglementaire et appuyer les démarches de conformité ISO 22301.</w:t>
      </w:r>
    </w:p>
    <w:p w14:paraId="46BAED85" w14:textId="77777777" w:rsidR="0017711C" w:rsidRDefault="00DA10C4">
      <w:pPr>
        <w:pStyle w:val="Titre2"/>
      </w:pPr>
      <w:bookmarkStart w:id="61" w:name="_Toc227736961"/>
      <w:r>
        <w:t>11.3. Définition des travaux</w:t>
      </w:r>
      <w:bookmarkEnd w:id="61"/>
    </w:p>
    <w:p w14:paraId="0C36E8FD" w14:textId="77777777" w:rsidR="0017711C" w:rsidRDefault="00DA10C4">
      <w:pPr>
        <w:spacing w:after="120"/>
        <w:jc w:val="both"/>
      </w:pPr>
      <w:r>
        <w:t>Le prestataire retenu devra assurer :</w:t>
      </w:r>
    </w:p>
    <w:p w14:paraId="3194EFA7" w14:textId="77777777" w:rsidR="0017711C" w:rsidRDefault="00DA10C4">
      <w:pPr>
        <w:pStyle w:val="Paragraphedeliste"/>
        <w:numPr>
          <w:ilvl w:val="0"/>
          <w:numId w:val="2"/>
        </w:numPr>
        <w:spacing w:after="60"/>
      </w:pPr>
      <w:r>
        <w:t>La formation officielle ISO 22301 Lead Implementer (PECB) ;</w:t>
      </w:r>
    </w:p>
    <w:p w14:paraId="39BAA6EB" w14:textId="77777777" w:rsidR="0017711C" w:rsidRDefault="00DA10C4">
      <w:pPr>
        <w:pStyle w:val="Paragraphedeliste"/>
        <w:numPr>
          <w:ilvl w:val="0"/>
          <w:numId w:val="2"/>
        </w:numPr>
        <w:spacing w:after="60"/>
      </w:pPr>
      <w:r>
        <w:t>Un plan de formation détaillé couvrant l’intégralité du curriculum officiel PECB ;</w:t>
      </w:r>
    </w:p>
    <w:p w14:paraId="48A269A0" w14:textId="77777777" w:rsidR="0017711C" w:rsidRDefault="00DA10C4">
      <w:pPr>
        <w:pStyle w:val="Paragraphedeliste"/>
        <w:numPr>
          <w:ilvl w:val="0"/>
          <w:numId w:val="2"/>
        </w:numPr>
        <w:spacing w:after="60"/>
      </w:pPr>
      <w:r>
        <w:t>Des outils et études de cas pratiques pour la conception et mise en œuvre d’un SMCA ;</w:t>
      </w:r>
    </w:p>
    <w:p w14:paraId="19BAFA51" w14:textId="77777777" w:rsidR="0017711C" w:rsidRDefault="00DA10C4">
      <w:pPr>
        <w:pStyle w:val="Paragraphedeliste"/>
        <w:numPr>
          <w:ilvl w:val="0"/>
          <w:numId w:val="2"/>
        </w:numPr>
        <w:spacing w:after="60"/>
      </w:pPr>
      <w:r>
        <w:t>Les supports pédagogiques officiels PECB (courseware, guides de travaux pratiques) ;</w:t>
      </w:r>
    </w:p>
    <w:p w14:paraId="3521AB13" w14:textId="77777777" w:rsidR="0017711C" w:rsidRDefault="00DA10C4">
      <w:pPr>
        <w:pStyle w:val="Paragraphedeliste"/>
        <w:numPr>
          <w:ilvl w:val="0"/>
          <w:numId w:val="2"/>
        </w:numPr>
        <w:spacing w:after="60"/>
      </w:pPr>
      <w:r>
        <w:t>La formation par un formateur certifié PECB Certified Trainer ISO 22301 ;</w:t>
      </w:r>
    </w:p>
    <w:p w14:paraId="67ACD3D6" w14:textId="77777777" w:rsidR="0017711C" w:rsidRDefault="00DA10C4">
      <w:pPr>
        <w:pStyle w:val="Paragraphedeliste"/>
        <w:numPr>
          <w:ilvl w:val="0"/>
          <w:numId w:val="2"/>
        </w:numPr>
        <w:spacing w:after="60"/>
      </w:pPr>
      <w:r>
        <w:t>L’organisation de sessions de révision et d’évaluations ;</w:t>
      </w:r>
    </w:p>
    <w:p w14:paraId="6C47B412" w14:textId="77777777" w:rsidR="0017711C" w:rsidRDefault="00DA10C4">
      <w:pPr>
        <w:pStyle w:val="Paragraphedeliste"/>
        <w:numPr>
          <w:ilvl w:val="0"/>
          <w:numId w:val="2"/>
        </w:numPr>
        <w:spacing w:after="60"/>
      </w:pPr>
      <w:r>
        <w:t>La remise d’une attestation de formation aux participants.</w:t>
      </w:r>
    </w:p>
    <w:p w14:paraId="15D415FF" w14:textId="77777777" w:rsidR="0017711C" w:rsidRDefault="00DA10C4">
      <w:pPr>
        <w:pStyle w:val="Titre2"/>
      </w:pPr>
      <w:bookmarkStart w:id="62" w:name="_Toc227736962"/>
      <w:r>
        <w:t>11.4. Spécifications techniques</w:t>
      </w:r>
      <w:bookmarkEnd w:id="62"/>
    </w:p>
    <w:p w14:paraId="045C8A11" w14:textId="77777777" w:rsidR="0017711C" w:rsidRDefault="00DA10C4">
      <w:pPr>
        <w:spacing w:after="120"/>
        <w:jc w:val="both"/>
      </w:pPr>
      <w:r>
        <w:t>La formation devra couvrir au minimum les modules suivants :</w:t>
      </w:r>
    </w:p>
    <w:p w14:paraId="6D296B04" w14:textId="77777777" w:rsidR="0017711C" w:rsidRDefault="00DA10C4">
      <w:pPr>
        <w:pStyle w:val="Paragraphedeliste"/>
        <w:numPr>
          <w:ilvl w:val="0"/>
          <w:numId w:val="2"/>
        </w:numPr>
        <w:spacing w:after="60"/>
      </w:pPr>
      <w:r>
        <w:t>Introduction à la norme ISO 22301, cadre règlementaire et concepts fondamentaux du SMCA ;</w:t>
      </w:r>
    </w:p>
    <w:p w14:paraId="68FB652C" w14:textId="77777777" w:rsidR="0017711C" w:rsidRDefault="00DA10C4">
      <w:pPr>
        <w:pStyle w:val="Paragraphedeliste"/>
        <w:numPr>
          <w:ilvl w:val="0"/>
          <w:numId w:val="2"/>
        </w:numPr>
        <w:spacing w:after="60"/>
      </w:pPr>
      <w:r>
        <w:t>Compréhension du contexte organisationnel, parties intéressées et domaine d’application ;</w:t>
      </w:r>
    </w:p>
    <w:p w14:paraId="0F653868" w14:textId="77777777" w:rsidR="0017711C" w:rsidRDefault="00DA10C4">
      <w:pPr>
        <w:pStyle w:val="Paragraphedeliste"/>
        <w:numPr>
          <w:ilvl w:val="0"/>
          <w:numId w:val="2"/>
        </w:numPr>
        <w:spacing w:after="60"/>
      </w:pPr>
      <w:r>
        <w:t>Analyse d’Impact sur les Métiers (BIA) et évaluation des risques d’interruption ;</w:t>
      </w:r>
    </w:p>
    <w:p w14:paraId="3931A514" w14:textId="77777777" w:rsidR="0017711C" w:rsidRDefault="00DA10C4">
      <w:pPr>
        <w:pStyle w:val="Paragraphedeliste"/>
        <w:numPr>
          <w:ilvl w:val="0"/>
          <w:numId w:val="2"/>
        </w:numPr>
        <w:spacing w:after="60"/>
      </w:pPr>
      <w:r>
        <w:t>Conception et mise en œuvre des stratégies de continuité, PCA et PRA ;</w:t>
      </w:r>
    </w:p>
    <w:p w14:paraId="4096CC0E" w14:textId="77777777" w:rsidR="0017711C" w:rsidRDefault="00DA10C4">
      <w:pPr>
        <w:pStyle w:val="Paragraphedeliste"/>
        <w:numPr>
          <w:ilvl w:val="0"/>
          <w:numId w:val="2"/>
        </w:numPr>
        <w:spacing w:after="60"/>
      </w:pPr>
      <w:r>
        <w:t>Gestion des incidents, réponse aux crises et activation des procédures de continuité ;</w:t>
      </w:r>
    </w:p>
    <w:p w14:paraId="741EFC1D" w14:textId="77777777" w:rsidR="0017711C" w:rsidRDefault="00DA10C4">
      <w:pPr>
        <w:pStyle w:val="Paragraphedeliste"/>
        <w:numPr>
          <w:ilvl w:val="0"/>
          <w:numId w:val="2"/>
        </w:numPr>
        <w:spacing w:after="60"/>
      </w:pPr>
      <w:r>
        <w:t>Exercices, tests et audits du SMCA (simulation de crise, retour d’expérience) ;</w:t>
      </w:r>
    </w:p>
    <w:p w14:paraId="63BAEC3A" w14:textId="77777777" w:rsidR="0017711C" w:rsidRDefault="00DA10C4">
      <w:pPr>
        <w:pStyle w:val="Paragraphedeliste"/>
        <w:numPr>
          <w:ilvl w:val="0"/>
          <w:numId w:val="2"/>
        </w:numPr>
        <w:spacing w:after="60"/>
      </w:pPr>
      <w:r>
        <w:t>Communication de crise et coordination avec les parties prenantes ;</w:t>
      </w:r>
    </w:p>
    <w:p w14:paraId="15056B7A" w14:textId="77777777" w:rsidR="0017711C" w:rsidRDefault="00DA10C4">
      <w:pPr>
        <w:pStyle w:val="Paragraphedeliste"/>
        <w:numPr>
          <w:ilvl w:val="0"/>
          <w:numId w:val="2"/>
        </w:numPr>
        <w:spacing w:after="60"/>
      </w:pPr>
      <w:r>
        <w:t>Suivi, mesure, évaluation des performances et revue de direction du SMCA ;</w:t>
      </w:r>
    </w:p>
    <w:p w14:paraId="0BF8EB35" w14:textId="77777777" w:rsidR="0017711C" w:rsidRDefault="00DA10C4">
      <w:pPr>
        <w:pStyle w:val="Paragraphedeliste"/>
        <w:numPr>
          <w:ilvl w:val="0"/>
          <w:numId w:val="2"/>
        </w:numPr>
        <w:spacing w:after="60"/>
      </w:pPr>
      <w:r>
        <w:t>Préparation à l’audit ISO 22301.</w:t>
      </w:r>
    </w:p>
    <w:p w14:paraId="67641975" w14:textId="77777777" w:rsidR="0017711C" w:rsidRDefault="0017711C">
      <w:pPr>
        <w:spacing w:after="120"/>
      </w:pPr>
    </w:p>
    <w:p w14:paraId="0631891B" w14:textId="100A88E1" w:rsidR="0017711C" w:rsidRDefault="00DA10C4">
      <w:pPr>
        <w:spacing w:after="120"/>
        <w:jc w:val="both"/>
      </w:pPr>
      <w:r>
        <w:rPr>
          <w:i/>
          <w:iCs/>
        </w:rPr>
        <w:t>Conforme au curriculum officiel ISO 22301 Lead Implementer de PECB (5 domaines officiels), animée par un formateur certifié PECB, dispensée en français</w:t>
      </w:r>
      <w:r w:rsidR="00DE0836">
        <w:rPr>
          <w:i/>
          <w:iCs/>
        </w:rPr>
        <w:t xml:space="preserve"> ou en anglais</w:t>
      </w:r>
      <w:r>
        <w:rPr>
          <w:i/>
          <w:iCs/>
        </w:rPr>
        <w:t>.</w:t>
      </w:r>
    </w:p>
    <w:p w14:paraId="35657DFE" w14:textId="77777777" w:rsidR="0017711C" w:rsidRDefault="00DA10C4">
      <w:r>
        <w:br w:type="page"/>
      </w:r>
    </w:p>
    <w:p w14:paraId="119F410F" w14:textId="77777777" w:rsidR="0017711C" w:rsidRDefault="00DA10C4">
      <w:pPr>
        <w:pStyle w:val="Titre1"/>
      </w:pPr>
      <w:bookmarkStart w:id="63" w:name="_Toc227736963"/>
      <w:r>
        <w:t>PARTIE III – MODALITÉS DE SOUMISSION (DISPOSITIONS COMMUNES)</w:t>
      </w:r>
      <w:bookmarkEnd w:id="63"/>
    </w:p>
    <w:p w14:paraId="258F9060" w14:textId="77777777" w:rsidR="0017711C" w:rsidRDefault="00DA10C4">
      <w:pPr>
        <w:pStyle w:val="Titre2"/>
      </w:pPr>
      <w:bookmarkStart w:id="64" w:name="_Toc227736964"/>
      <w:r>
        <w:t>1. Constitution des offres</w:t>
      </w:r>
      <w:bookmarkEnd w:id="64"/>
    </w:p>
    <w:p w14:paraId="0FA287FF" w14:textId="77777777" w:rsidR="0017711C" w:rsidRDefault="00DA10C4">
      <w:pPr>
        <w:spacing w:after="120"/>
        <w:jc w:val="both"/>
      </w:pPr>
      <w:r>
        <w:t>Les offres doivent être rédigées en français.</w:t>
      </w:r>
    </w:p>
    <w:p w14:paraId="6948024C" w14:textId="77777777" w:rsidR="0017711C" w:rsidRDefault="00DA10C4">
      <w:pPr>
        <w:spacing w:after="120"/>
        <w:jc w:val="both"/>
      </w:pPr>
      <w:r>
        <w:t>Le dossier doit être constitué de 03 documents distincts, à savoir :</w:t>
      </w:r>
    </w:p>
    <w:p w14:paraId="0A8D1473" w14:textId="77777777" w:rsidR="0017711C" w:rsidRDefault="00DA10C4">
      <w:pPr>
        <w:pStyle w:val="Paragraphedeliste"/>
        <w:numPr>
          <w:ilvl w:val="0"/>
          <w:numId w:val="2"/>
        </w:numPr>
        <w:spacing w:after="60"/>
      </w:pPr>
      <w:r>
        <w:t>Le dossier administratif</w:t>
      </w:r>
    </w:p>
    <w:p w14:paraId="61563666" w14:textId="77777777" w:rsidR="0017711C" w:rsidRDefault="00DA10C4">
      <w:pPr>
        <w:pStyle w:val="Paragraphedeliste"/>
        <w:numPr>
          <w:ilvl w:val="0"/>
          <w:numId w:val="2"/>
        </w:numPr>
        <w:spacing w:after="60"/>
      </w:pPr>
      <w:r>
        <w:t>L’offre technique</w:t>
      </w:r>
    </w:p>
    <w:p w14:paraId="4371D0DB" w14:textId="77777777" w:rsidR="0017711C" w:rsidRDefault="00DA10C4">
      <w:pPr>
        <w:pStyle w:val="Paragraphedeliste"/>
        <w:numPr>
          <w:ilvl w:val="0"/>
          <w:numId w:val="2"/>
        </w:numPr>
        <w:spacing w:after="60"/>
      </w:pPr>
      <w:r>
        <w:t>L’offre financière</w:t>
      </w:r>
    </w:p>
    <w:p w14:paraId="00662752" w14:textId="77777777" w:rsidR="0017711C" w:rsidRDefault="00DA10C4">
      <w:pPr>
        <w:spacing w:after="120"/>
        <w:jc w:val="both"/>
      </w:pPr>
      <w:r>
        <w:t>Les offres devront respecter une structuration minimale de forme bien précise. La structuration souhaitée par la BVMAC pour l’offre technique est partagée en Annexe 1. Le prestataire pourra au besoin augmenter des rubriques mais dans une structuration logique et correcte.</w:t>
      </w:r>
    </w:p>
    <w:p w14:paraId="69FF2C62" w14:textId="77777777" w:rsidR="0017711C" w:rsidRDefault="00DA10C4">
      <w:pPr>
        <w:pStyle w:val="Titre3"/>
      </w:pPr>
      <w:bookmarkStart w:id="65" w:name="_Toc227736965"/>
      <w:r>
        <w:t>Important</w:t>
      </w:r>
      <w:bookmarkEnd w:id="65"/>
    </w:p>
    <w:p w14:paraId="7D56A343" w14:textId="77777777" w:rsidR="0017711C" w:rsidRDefault="00DA10C4">
      <w:pPr>
        <w:spacing w:after="120"/>
        <w:jc w:val="both"/>
      </w:pPr>
      <w:r>
        <w:rPr>
          <w:b/>
          <w:bCs/>
        </w:rPr>
        <w:t>L’offre financière devra être la plus précise possible. Un niveau de granularité le plus bas sera exigé concernant les tarifs des différentes rubriques présentées dans l’offre financière.</w:t>
      </w:r>
    </w:p>
    <w:p w14:paraId="7FC22CA2" w14:textId="77777777" w:rsidR="0017711C" w:rsidRDefault="00DA10C4">
      <w:pPr>
        <w:spacing w:after="120"/>
        <w:jc w:val="both"/>
      </w:pPr>
      <w:r>
        <w:t>L’offre technique devra être la plus précise possible. Les documents référents de l’offre doivent être lisibles et de bonne qualité.</w:t>
      </w:r>
    </w:p>
    <w:p w14:paraId="57374740" w14:textId="77777777" w:rsidR="0017711C" w:rsidRDefault="00DA10C4">
      <w:pPr>
        <w:spacing w:after="120"/>
        <w:jc w:val="both"/>
      </w:pPr>
      <w:r>
        <w:t>Les documents référents du dossier administratif doivent être lisibles et de bonne qualité. Un respect scrupuleux des besoins en documents administratifs sera très apprécié.</w:t>
      </w:r>
    </w:p>
    <w:p w14:paraId="7EB53A96" w14:textId="77777777" w:rsidR="0017711C" w:rsidRDefault="00DA10C4">
      <w:pPr>
        <w:pStyle w:val="Titre2"/>
      </w:pPr>
      <w:bookmarkStart w:id="66" w:name="_Toc227736966"/>
      <w:r>
        <w:t>2. Transmission des offres</w:t>
      </w:r>
      <w:bookmarkEnd w:id="66"/>
    </w:p>
    <w:p w14:paraId="0995929E" w14:textId="790CFC1B" w:rsidR="0017711C" w:rsidRDefault="00DA10C4">
      <w:pPr>
        <w:spacing w:after="120"/>
        <w:jc w:val="both"/>
      </w:pPr>
      <w:r>
        <w:t xml:space="preserve">Les offres doivent être transmises au plus tard le </w:t>
      </w:r>
      <w:r>
        <w:rPr>
          <w:b/>
          <w:bCs/>
        </w:rPr>
        <w:t>30/0</w:t>
      </w:r>
      <w:r w:rsidR="00245E16">
        <w:rPr>
          <w:b/>
          <w:bCs/>
        </w:rPr>
        <w:t>5</w:t>
      </w:r>
      <w:r>
        <w:rPr>
          <w:b/>
          <w:bCs/>
        </w:rPr>
        <w:t>/2026</w:t>
      </w:r>
      <w:r>
        <w:t xml:space="preserve"> sous pli fermé au secrétariat de la BVMAC avec le cachet du prestataire et la mention du/des lot(s) concerné(s), et par mail à l’adresse électronique </w:t>
      </w:r>
      <w:r>
        <w:rPr>
          <w:b/>
          <w:bCs/>
        </w:rPr>
        <w:t>bvmac@bvmac.cm</w:t>
      </w:r>
      <w:r>
        <w:t>.</w:t>
      </w:r>
    </w:p>
    <w:p w14:paraId="4A267045" w14:textId="77777777" w:rsidR="0017711C" w:rsidRDefault="00DA10C4">
      <w:pPr>
        <w:spacing w:after="120"/>
        <w:jc w:val="both"/>
      </w:pPr>
      <w:r>
        <w:t>Les soumissionnaires restent tenus par leurs offres pendant une période de quatre-vingt-dix (90) jours à compter de la date de l’ouverture des offres. La BVMAC se réserve le droit de ne pas donner suite à la présente demande de consultation, s’il n’a pas obtenu de soumission qui lui paraisse acceptable ou pour toute autre raison.</w:t>
      </w:r>
    </w:p>
    <w:p w14:paraId="3FADDBBC" w14:textId="77777777" w:rsidR="0017711C" w:rsidRDefault="00DA10C4">
      <w:pPr>
        <w:spacing w:after="120"/>
        <w:jc w:val="both"/>
      </w:pPr>
      <w:r>
        <w:t>Dans les circonstances exceptionnelles, la BVMAC peut solliciter le consentement des consultants à une prolongation du délai de validité.</w:t>
      </w:r>
    </w:p>
    <w:p w14:paraId="0BD39EE1" w14:textId="77777777" w:rsidR="0017711C" w:rsidRDefault="00DA10C4">
      <w:r>
        <w:br w:type="page"/>
      </w:r>
    </w:p>
    <w:p w14:paraId="5082E093" w14:textId="77777777" w:rsidR="0017711C" w:rsidRDefault="00DA10C4">
      <w:pPr>
        <w:pStyle w:val="Titre1"/>
      </w:pPr>
      <w:bookmarkStart w:id="67" w:name="_Toc227736967"/>
      <w:r>
        <w:t>PARTIE IV – MODALITÉS DE TRAITEMENT DES OFFRES</w:t>
      </w:r>
      <w:bookmarkEnd w:id="67"/>
    </w:p>
    <w:p w14:paraId="47EE4224" w14:textId="77777777" w:rsidR="0017711C" w:rsidRDefault="00DA10C4">
      <w:pPr>
        <w:pStyle w:val="Titre2"/>
      </w:pPr>
      <w:bookmarkStart w:id="68" w:name="_Toc227736968"/>
      <w:r>
        <w:t>1. Critères d’évaluation</w:t>
      </w:r>
      <w:bookmarkEnd w:id="68"/>
    </w:p>
    <w:p w14:paraId="1A6C37A5" w14:textId="77777777" w:rsidR="0017711C" w:rsidRDefault="00DA10C4">
      <w:pPr>
        <w:spacing w:after="120"/>
        <w:jc w:val="both"/>
      </w:pPr>
      <w:r>
        <w:t>Les critères de sélection des offres pour la réalisation des formations sont présentés dans le tableau ci-après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92"/>
        <w:gridCol w:w="6768"/>
      </w:tblGrid>
      <w:tr w:rsidR="0017711C" w14:paraId="1C619CBF" w14:textId="77777777">
        <w:tc>
          <w:tcPr>
            <w:tcW w:w="150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tcPr>
          <w:p w14:paraId="449F833E" w14:textId="77777777" w:rsidR="0017711C" w:rsidRDefault="00DA10C4">
            <w:pPr>
              <w:jc w:val="center"/>
            </w:pPr>
            <w:r>
              <w:rPr>
                <w:b/>
                <w:bCs/>
                <w:color w:val="FFFFFF"/>
                <w:sz w:val="20"/>
                <w:szCs w:val="20"/>
              </w:rPr>
              <w:t>CRITERES</w:t>
            </w:r>
          </w:p>
        </w:tc>
        <w:tc>
          <w:tcPr>
            <w:tcW w:w="7860" w:type="dxa"/>
            <w:tcBorders>
              <w:top w:val="single" w:sz="1" w:space="0" w:color="CCCCCC"/>
              <w:left w:val="single" w:sz="1" w:space="0" w:color="CCCCCC"/>
              <w:bottom w:val="single" w:sz="1" w:space="0" w:color="CCCCCC"/>
              <w:right w:val="single" w:sz="1" w:space="0" w:color="CCCCCC"/>
            </w:tcBorders>
            <w:shd w:val="clear" w:color="auto" w:fill="1F3864"/>
            <w:tcMar>
              <w:top w:w="60" w:type="dxa"/>
              <w:left w:w="100" w:type="dxa"/>
              <w:bottom w:w="60" w:type="dxa"/>
              <w:right w:w="100" w:type="dxa"/>
            </w:tcMar>
          </w:tcPr>
          <w:p w14:paraId="367AB43F" w14:textId="77777777" w:rsidR="0017711C" w:rsidRDefault="00DA10C4">
            <w:pPr>
              <w:jc w:val="center"/>
            </w:pPr>
            <w:r>
              <w:rPr>
                <w:b/>
                <w:bCs/>
                <w:color w:val="FFFFFF"/>
                <w:sz w:val="20"/>
                <w:szCs w:val="20"/>
              </w:rPr>
              <w:t>Désignation</w:t>
            </w:r>
          </w:p>
        </w:tc>
      </w:tr>
      <w:tr w:rsidR="0017711C" w14:paraId="5859C491"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7C70647" w14:textId="77777777" w:rsidR="0017711C" w:rsidRDefault="00DA10C4">
            <w:pPr>
              <w:jc w:val="center"/>
            </w:pPr>
            <w:r>
              <w:rPr>
                <w:sz w:val="20"/>
                <w:szCs w:val="20"/>
              </w:rPr>
              <w:t>1. Offre technique</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948C927" w14:textId="77777777" w:rsidR="0017711C" w:rsidRDefault="0017711C"/>
        </w:tc>
      </w:tr>
      <w:tr w:rsidR="0017711C" w14:paraId="6A821356"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6D6E1FF" w14:textId="77777777" w:rsidR="0017711C" w:rsidRDefault="00DA10C4">
            <w:pPr>
              <w:jc w:val="center"/>
            </w:pPr>
            <w:r>
              <w:rPr>
                <w:sz w:val="20"/>
                <w:szCs w:val="20"/>
              </w:rPr>
              <w:t>1.1.</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7CA895A7" w14:textId="77777777" w:rsidR="0017711C" w:rsidRDefault="00DA10C4">
            <w:r>
              <w:rPr>
                <w:sz w:val="20"/>
                <w:szCs w:val="20"/>
              </w:rPr>
              <w:t>Compréhension générale du cahier de charges</w:t>
            </w:r>
          </w:p>
        </w:tc>
      </w:tr>
      <w:tr w:rsidR="0017711C" w14:paraId="5143CD4A"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1B2CCB32" w14:textId="77777777" w:rsidR="0017711C" w:rsidRDefault="00DA10C4">
            <w:pPr>
              <w:jc w:val="center"/>
            </w:pPr>
            <w:r>
              <w:rPr>
                <w:sz w:val="20"/>
                <w:szCs w:val="20"/>
              </w:rPr>
              <w:t>1.2.</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207C07CB" w14:textId="77777777" w:rsidR="0017711C" w:rsidRDefault="00DA10C4">
            <w:r>
              <w:rPr>
                <w:sz w:val="20"/>
                <w:szCs w:val="20"/>
              </w:rPr>
              <w:t>Méthodologie &amp; Consistance de l’offre</w:t>
            </w:r>
          </w:p>
        </w:tc>
      </w:tr>
      <w:tr w:rsidR="0017711C" w14:paraId="49F9B59C"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12761DB" w14:textId="77777777" w:rsidR="0017711C" w:rsidRDefault="00DA10C4">
            <w:pPr>
              <w:jc w:val="center"/>
            </w:pPr>
            <w:r>
              <w:rPr>
                <w:sz w:val="20"/>
                <w:szCs w:val="20"/>
              </w:rPr>
              <w:t>1.3.</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4EE1DD75" w14:textId="77777777" w:rsidR="0017711C" w:rsidRDefault="00DA10C4">
            <w:r>
              <w:rPr>
                <w:sz w:val="20"/>
                <w:szCs w:val="20"/>
              </w:rPr>
              <w:t>Qualité Équipe Projet (CV, Expérience, réalisations)</w:t>
            </w:r>
          </w:p>
        </w:tc>
      </w:tr>
      <w:tr w:rsidR="0017711C" w14:paraId="73494018"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0BB8EEED" w14:textId="77777777" w:rsidR="0017711C" w:rsidRDefault="00DA10C4">
            <w:pPr>
              <w:jc w:val="center"/>
            </w:pPr>
            <w:r>
              <w:rPr>
                <w:sz w:val="20"/>
                <w:szCs w:val="20"/>
              </w:rPr>
              <w:t>1.4.</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0B2B7FD" w14:textId="77777777" w:rsidR="0017711C" w:rsidRDefault="00DA10C4">
            <w:r>
              <w:rPr>
                <w:sz w:val="20"/>
                <w:szCs w:val="20"/>
              </w:rPr>
              <w:t>Expérience prouvée dans le domaine de formation concerné</w:t>
            </w:r>
          </w:p>
        </w:tc>
      </w:tr>
      <w:tr w:rsidR="0017711C" w14:paraId="433F1900"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C2CDB18" w14:textId="77777777" w:rsidR="0017711C" w:rsidRDefault="00DA10C4">
            <w:pPr>
              <w:jc w:val="center"/>
            </w:pPr>
            <w:r>
              <w:rPr>
                <w:sz w:val="20"/>
                <w:szCs w:val="20"/>
              </w:rPr>
              <w:t>1.5.</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3FDE03A8" w14:textId="77777777" w:rsidR="0017711C" w:rsidRDefault="00DA10C4">
            <w:r>
              <w:rPr>
                <w:sz w:val="20"/>
                <w:szCs w:val="20"/>
              </w:rPr>
              <w:t>Qualification des formateurs (certifications)</w:t>
            </w:r>
          </w:p>
        </w:tc>
      </w:tr>
      <w:tr w:rsidR="0017711C" w14:paraId="322BABC7" w14:textId="77777777">
        <w:tc>
          <w:tcPr>
            <w:tcW w:w="150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66AEEE16" w14:textId="77777777" w:rsidR="0017711C" w:rsidRDefault="00DA10C4">
            <w:pPr>
              <w:jc w:val="center"/>
            </w:pPr>
            <w:r>
              <w:rPr>
                <w:sz w:val="20"/>
                <w:szCs w:val="20"/>
              </w:rPr>
              <w:t>1.6.</w:t>
            </w:r>
          </w:p>
        </w:tc>
        <w:tc>
          <w:tcPr>
            <w:tcW w:w="786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tcPr>
          <w:p w14:paraId="5FF0C112" w14:textId="77777777" w:rsidR="0017711C" w:rsidRDefault="00DA10C4">
            <w:r>
              <w:rPr>
                <w:sz w:val="20"/>
                <w:szCs w:val="20"/>
              </w:rPr>
              <w:t>Qualité des supports pédagogiques</w:t>
            </w:r>
          </w:p>
        </w:tc>
      </w:tr>
      <w:tr w:rsidR="0017711C" w14:paraId="7DD858FB" w14:textId="77777777">
        <w:tc>
          <w:tcPr>
            <w:tcW w:w="1500" w:type="dxa"/>
            <w:tcBorders>
              <w:top w:val="single" w:sz="1" w:space="0" w:color="CCCCCC"/>
              <w:left w:val="single" w:sz="1" w:space="0" w:color="CCCCCC"/>
              <w:bottom w:val="single" w:sz="1" w:space="0" w:color="CCCCCC"/>
              <w:right w:val="single" w:sz="1" w:space="0" w:color="CCCCCC"/>
            </w:tcBorders>
            <w:shd w:val="clear" w:color="auto" w:fill="D5E8F0"/>
            <w:tcMar>
              <w:top w:w="60" w:type="dxa"/>
              <w:left w:w="100" w:type="dxa"/>
              <w:bottom w:w="60" w:type="dxa"/>
              <w:right w:w="100" w:type="dxa"/>
            </w:tcMar>
          </w:tcPr>
          <w:p w14:paraId="5069BBC5" w14:textId="77777777" w:rsidR="0017711C" w:rsidRDefault="00DA10C4">
            <w:pPr>
              <w:jc w:val="center"/>
            </w:pPr>
            <w:r>
              <w:rPr>
                <w:b/>
                <w:bCs/>
                <w:sz w:val="20"/>
                <w:szCs w:val="20"/>
              </w:rPr>
              <w:t>2. Oral de présentation/démonstration de l’offre</w:t>
            </w:r>
          </w:p>
        </w:tc>
        <w:tc>
          <w:tcPr>
            <w:tcW w:w="7860" w:type="dxa"/>
            <w:tcBorders>
              <w:top w:val="single" w:sz="1" w:space="0" w:color="CCCCCC"/>
              <w:left w:val="single" w:sz="1" w:space="0" w:color="CCCCCC"/>
              <w:bottom w:val="single" w:sz="1" w:space="0" w:color="CCCCCC"/>
              <w:right w:val="single" w:sz="1" w:space="0" w:color="CCCCCC"/>
            </w:tcBorders>
            <w:shd w:val="clear" w:color="auto" w:fill="D5E8F0"/>
            <w:tcMar>
              <w:top w:w="60" w:type="dxa"/>
              <w:left w:w="100" w:type="dxa"/>
              <w:bottom w:w="60" w:type="dxa"/>
              <w:right w:w="100" w:type="dxa"/>
            </w:tcMar>
          </w:tcPr>
          <w:p w14:paraId="0355638A" w14:textId="77777777" w:rsidR="0017711C" w:rsidRDefault="0017711C"/>
        </w:tc>
      </w:tr>
      <w:tr w:rsidR="0017711C" w14:paraId="3D24E009" w14:textId="77777777">
        <w:tc>
          <w:tcPr>
            <w:tcW w:w="1500" w:type="dxa"/>
            <w:tcBorders>
              <w:top w:val="single" w:sz="1" w:space="0" w:color="CCCCCC"/>
              <w:left w:val="single" w:sz="1" w:space="0" w:color="CCCCCC"/>
              <w:bottom w:val="single" w:sz="1" w:space="0" w:color="CCCCCC"/>
              <w:right w:val="single" w:sz="1" w:space="0" w:color="CCCCCC"/>
            </w:tcBorders>
            <w:shd w:val="clear" w:color="auto" w:fill="D5E8F0"/>
            <w:tcMar>
              <w:top w:w="60" w:type="dxa"/>
              <w:left w:w="100" w:type="dxa"/>
              <w:bottom w:w="60" w:type="dxa"/>
              <w:right w:w="100" w:type="dxa"/>
            </w:tcMar>
          </w:tcPr>
          <w:p w14:paraId="6FDA89B2" w14:textId="77777777" w:rsidR="0017711C" w:rsidRDefault="00DA10C4">
            <w:pPr>
              <w:jc w:val="center"/>
            </w:pPr>
            <w:r>
              <w:rPr>
                <w:b/>
                <w:bCs/>
                <w:sz w:val="20"/>
                <w:szCs w:val="20"/>
              </w:rPr>
              <w:t>3. Offre financière</w:t>
            </w:r>
          </w:p>
        </w:tc>
        <w:tc>
          <w:tcPr>
            <w:tcW w:w="7860" w:type="dxa"/>
            <w:tcBorders>
              <w:top w:val="single" w:sz="1" w:space="0" w:color="CCCCCC"/>
              <w:left w:val="single" w:sz="1" w:space="0" w:color="CCCCCC"/>
              <w:bottom w:val="single" w:sz="1" w:space="0" w:color="CCCCCC"/>
              <w:right w:val="single" w:sz="1" w:space="0" w:color="CCCCCC"/>
            </w:tcBorders>
            <w:shd w:val="clear" w:color="auto" w:fill="D5E8F0"/>
            <w:tcMar>
              <w:top w:w="60" w:type="dxa"/>
              <w:left w:w="100" w:type="dxa"/>
              <w:bottom w:w="60" w:type="dxa"/>
              <w:right w:w="100" w:type="dxa"/>
            </w:tcMar>
          </w:tcPr>
          <w:p w14:paraId="2DE173D1" w14:textId="77777777" w:rsidR="0017711C" w:rsidRDefault="0017711C"/>
        </w:tc>
      </w:tr>
    </w:tbl>
    <w:p w14:paraId="4AB37B35" w14:textId="77777777" w:rsidR="0017711C" w:rsidRDefault="00DA10C4">
      <w:pPr>
        <w:spacing w:after="120"/>
        <w:jc w:val="both"/>
      </w:pPr>
      <w:r>
        <w:rPr>
          <w:i/>
          <w:iCs/>
        </w:rPr>
        <w:t>N.B : Les prestataires devront être en mesure de venir faire une présentation/démonstration de leur offre au siège de la BVMAC.</w:t>
      </w:r>
    </w:p>
    <w:p w14:paraId="628A7419" w14:textId="77777777" w:rsidR="0017711C" w:rsidRDefault="00DA10C4">
      <w:pPr>
        <w:pStyle w:val="Titre2"/>
      </w:pPr>
      <w:bookmarkStart w:id="69" w:name="_Toc227736969"/>
      <w:r>
        <w:t>2. Principaux critères éliminatoires</w:t>
      </w:r>
      <w:bookmarkEnd w:id="69"/>
    </w:p>
    <w:p w14:paraId="7494C6BC" w14:textId="77777777" w:rsidR="0017711C" w:rsidRDefault="00DA10C4">
      <w:pPr>
        <w:spacing w:after="120"/>
        <w:jc w:val="both"/>
      </w:pPr>
      <w:r>
        <w:t>Les offres répondant à un des éléments ci-dessous seront tout simplement rejetées :</w:t>
      </w:r>
    </w:p>
    <w:p w14:paraId="0A990A78" w14:textId="77777777" w:rsidR="0017711C" w:rsidRDefault="00DA10C4">
      <w:pPr>
        <w:pStyle w:val="Paragraphedeliste"/>
        <w:numPr>
          <w:ilvl w:val="0"/>
          <w:numId w:val="2"/>
        </w:numPr>
        <w:spacing w:after="60"/>
      </w:pPr>
      <w:r>
        <w:t>Dossier administratif ou technique incomplet ou non-conforme ;</w:t>
      </w:r>
    </w:p>
    <w:p w14:paraId="2C334DED" w14:textId="77777777" w:rsidR="0017711C" w:rsidRDefault="00DA10C4">
      <w:pPr>
        <w:pStyle w:val="Paragraphedeliste"/>
        <w:numPr>
          <w:ilvl w:val="0"/>
          <w:numId w:val="2"/>
        </w:numPr>
        <w:spacing w:after="60"/>
      </w:pPr>
      <w:r>
        <w:t>Fausse déclaration ou pièce falsifiée ;</w:t>
      </w:r>
    </w:p>
    <w:p w14:paraId="474136A4" w14:textId="77777777" w:rsidR="0017711C" w:rsidRDefault="00DA10C4">
      <w:pPr>
        <w:pStyle w:val="Paragraphedeliste"/>
        <w:numPr>
          <w:ilvl w:val="0"/>
          <w:numId w:val="2"/>
        </w:numPr>
        <w:spacing w:after="60"/>
      </w:pPr>
      <w:r>
        <w:t>Offre technique ou financière incomplète ;</w:t>
      </w:r>
    </w:p>
    <w:p w14:paraId="2BDA1E9A" w14:textId="77777777" w:rsidR="0017711C" w:rsidRDefault="00DA10C4">
      <w:pPr>
        <w:pStyle w:val="Paragraphedeliste"/>
        <w:numPr>
          <w:ilvl w:val="0"/>
          <w:numId w:val="2"/>
        </w:numPr>
        <w:spacing w:after="60"/>
      </w:pPr>
      <w:r>
        <w:t>Une note inférieure à 20% sur la partie offre technique sera considérée comme éliminatoire et l’offre financière dudit prestataire ne fera pas l’objet d’une consultation.</w:t>
      </w:r>
    </w:p>
    <w:p w14:paraId="69D4B86F" w14:textId="77777777" w:rsidR="0017711C" w:rsidRDefault="00DA10C4">
      <w:pPr>
        <w:pStyle w:val="Titre2"/>
      </w:pPr>
      <w:bookmarkStart w:id="70" w:name="_Toc227736970"/>
      <w:r>
        <w:t>3. Procédure de sélection du prestataire</w:t>
      </w:r>
      <w:bookmarkEnd w:id="70"/>
    </w:p>
    <w:p w14:paraId="20B466E6" w14:textId="77777777" w:rsidR="0017711C" w:rsidRDefault="00DA10C4">
      <w:pPr>
        <w:spacing w:after="120"/>
        <w:jc w:val="both"/>
      </w:pPr>
      <w:r>
        <w:t>Étape 0 : Lancement des demandes de consultation. Elle consiste à faire parvenir le cahier de charges aux différents prestataires présélectionnés.</w:t>
      </w:r>
    </w:p>
    <w:p w14:paraId="43DC4099" w14:textId="77777777" w:rsidR="0017711C" w:rsidRDefault="00DA10C4">
      <w:pPr>
        <w:spacing w:after="120"/>
        <w:jc w:val="both"/>
      </w:pPr>
      <w:r>
        <w:t>Étape 1 : Réception. Elle consiste à réceptionner les offres transmises par les prestataires.</w:t>
      </w:r>
    </w:p>
    <w:p w14:paraId="73A70C83" w14:textId="77777777" w:rsidR="0017711C" w:rsidRDefault="00DA10C4">
      <w:pPr>
        <w:spacing w:after="120"/>
        <w:jc w:val="both"/>
      </w:pPr>
      <w:r>
        <w:t>Étape 2 : Évaluation. Elle consiste à attribuer une note aux offres reçues selon les critères définis ci-dessus.</w:t>
      </w:r>
    </w:p>
    <w:p w14:paraId="6A98031C" w14:textId="77777777" w:rsidR="0017711C" w:rsidRDefault="00DA10C4">
      <w:pPr>
        <w:spacing w:after="120"/>
        <w:jc w:val="both"/>
      </w:pPr>
      <w:r>
        <w:t>Étape 3 : Délibération et Sélection. Elle consiste à débattre en comité interne BVMAC et choisir une offre. La présentation du prestataire sera demandée à cette étape.</w:t>
      </w:r>
    </w:p>
    <w:p w14:paraId="64BC3D62" w14:textId="77777777" w:rsidR="0017711C" w:rsidRDefault="00DA10C4">
      <w:pPr>
        <w:spacing w:after="120"/>
        <w:jc w:val="both"/>
      </w:pPr>
      <w:r>
        <w:t>Étape 4 : Contractualisation. Elle consiste à élaborer et signer le contrat avec le prestataire sélectionné.</w:t>
      </w:r>
    </w:p>
    <w:p w14:paraId="248BCE3E" w14:textId="77777777" w:rsidR="0017711C" w:rsidRDefault="00DA10C4">
      <w:pPr>
        <w:pStyle w:val="Titre2"/>
      </w:pPr>
      <w:bookmarkStart w:id="71" w:name="_Toc227736971"/>
      <w:r>
        <w:t>4. Garantie</w:t>
      </w:r>
      <w:bookmarkEnd w:id="71"/>
    </w:p>
    <w:p w14:paraId="2273DABF" w14:textId="77777777" w:rsidR="0017711C" w:rsidRDefault="00DA10C4">
      <w:pPr>
        <w:spacing w:after="120"/>
        <w:jc w:val="both"/>
      </w:pPr>
      <w:r>
        <w:t>Le prestataire devra garantir la qualité pédagogique de la formation, la conformité au programme officiel de la formation concernée et l’accès aux supports pendant une période définie.</w:t>
      </w:r>
    </w:p>
    <w:p w14:paraId="519B8A08" w14:textId="77777777" w:rsidR="0017711C" w:rsidRDefault="00DA10C4">
      <w:r>
        <w:br w:type="page"/>
      </w:r>
    </w:p>
    <w:p w14:paraId="570B3B08" w14:textId="77777777" w:rsidR="0017711C" w:rsidRDefault="00DA10C4">
      <w:pPr>
        <w:pStyle w:val="Titre1"/>
      </w:pPr>
      <w:bookmarkStart w:id="72" w:name="_Toc227736972"/>
      <w:r>
        <w:t>PARTIE V – CONTENU DES OFFRES</w:t>
      </w:r>
      <w:bookmarkEnd w:id="72"/>
    </w:p>
    <w:p w14:paraId="64E491D9" w14:textId="77777777" w:rsidR="0017711C" w:rsidRDefault="00DA10C4">
      <w:pPr>
        <w:pStyle w:val="Titre2"/>
      </w:pPr>
      <w:bookmarkStart w:id="73" w:name="_Toc227736973"/>
      <w:r>
        <w:t>1. Constitution du dossier administratif</w:t>
      </w:r>
      <w:bookmarkEnd w:id="73"/>
    </w:p>
    <w:p w14:paraId="2FBC19E9" w14:textId="77777777" w:rsidR="0017711C" w:rsidRDefault="00DA10C4">
      <w:pPr>
        <w:pStyle w:val="Paragraphedeliste"/>
        <w:numPr>
          <w:ilvl w:val="0"/>
          <w:numId w:val="2"/>
        </w:numPr>
        <w:spacing w:after="60"/>
      </w:pPr>
      <w:r>
        <w:t>Registre du commerce ;</w:t>
      </w:r>
    </w:p>
    <w:p w14:paraId="5E3ABE95" w14:textId="77777777" w:rsidR="0017711C" w:rsidRDefault="00DA10C4">
      <w:pPr>
        <w:pStyle w:val="Paragraphedeliste"/>
        <w:numPr>
          <w:ilvl w:val="0"/>
          <w:numId w:val="2"/>
        </w:numPr>
        <w:spacing w:after="60"/>
      </w:pPr>
      <w:r>
        <w:t>Carte de contribuable ;</w:t>
      </w:r>
    </w:p>
    <w:p w14:paraId="0EAE4A26" w14:textId="77777777" w:rsidR="0017711C" w:rsidRDefault="00DA10C4">
      <w:pPr>
        <w:pStyle w:val="Paragraphedeliste"/>
        <w:numPr>
          <w:ilvl w:val="0"/>
          <w:numId w:val="2"/>
        </w:numPr>
        <w:spacing w:after="60"/>
      </w:pPr>
      <w:r>
        <w:t>Attestation de non-faillite ;</w:t>
      </w:r>
    </w:p>
    <w:p w14:paraId="4F5F5C7C" w14:textId="77777777" w:rsidR="0017711C" w:rsidRDefault="00DA10C4">
      <w:pPr>
        <w:pStyle w:val="Paragraphedeliste"/>
        <w:numPr>
          <w:ilvl w:val="0"/>
          <w:numId w:val="2"/>
        </w:numPr>
        <w:spacing w:after="60"/>
      </w:pPr>
      <w:r>
        <w:t>Attestation de domiciliation bancaire ;</w:t>
      </w:r>
    </w:p>
    <w:p w14:paraId="186BE23B" w14:textId="77777777" w:rsidR="0017711C" w:rsidRDefault="00DA10C4">
      <w:pPr>
        <w:pStyle w:val="Paragraphedeliste"/>
        <w:numPr>
          <w:ilvl w:val="0"/>
          <w:numId w:val="2"/>
        </w:numPr>
        <w:spacing w:after="60"/>
      </w:pPr>
      <w:r>
        <w:t>Plan de localisation ;</w:t>
      </w:r>
    </w:p>
    <w:p w14:paraId="7DD2BB76" w14:textId="77777777" w:rsidR="0017711C" w:rsidRDefault="00DA10C4">
      <w:pPr>
        <w:pStyle w:val="Paragraphedeliste"/>
        <w:numPr>
          <w:ilvl w:val="0"/>
          <w:numId w:val="2"/>
        </w:numPr>
        <w:spacing w:after="60"/>
      </w:pPr>
      <w:r>
        <w:t>Attestation de non-redevance ;</w:t>
      </w:r>
    </w:p>
    <w:p w14:paraId="186E8964" w14:textId="77777777" w:rsidR="0017711C" w:rsidRDefault="00DA10C4">
      <w:pPr>
        <w:pStyle w:val="Paragraphedeliste"/>
        <w:numPr>
          <w:ilvl w:val="0"/>
          <w:numId w:val="2"/>
        </w:numPr>
        <w:spacing w:after="60"/>
      </w:pPr>
      <w:r>
        <w:t>Attestation de soumission à l’organisme de sécurité sociale de l’état de la CEMAC.</w:t>
      </w:r>
    </w:p>
    <w:p w14:paraId="63998DFA" w14:textId="77777777" w:rsidR="0017711C" w:rsidRDefault="00DA10C4">
      <w:pPr>
        <w:pStyle w:val="Titre2"/>
      </w:pPr>
      <w:bookmarkStart w:id="74" w:name="_Toc227736974"/>
      <w:r>
        <w:t>2. Contenu de l’offre technique</w:t>
      </w:r>
      <w:bookmarkEnd w:id="74"/>
    </w:p>
    <w:p w14:paraId="14E8A90F" w14:textId="77777777" w:rsidR="0017711C" w:rsidRDefault="00DA10C4">
      <w:pPr>
        <w:pStyle w:val="Paragraphedeliste"/>
        <w:numPr>
          <w:ilvl w:val="0"/>
          <w:numId w:val="2"/>
        </w:numPr>
        <w:spacing w:after="60"/>
      </w:pPr>
      <w:r>
        <w:t>Compréhension du besoin de la BVMAC ;</w:t>
      </w:r>
    </w:p>
    <w:p w14:paraId="3CAA53E1" w14:textId="77777777" w:rsidR="0017711C" w:rsidRDefault="00DA10C4">
      <w:pPr>
        <w:pStyle w:val="Paragraphedeliste"/>
        <w:numPr>
          <w:ilvl w:val="0"/>
          <w:numId w:val="2"/>
        </w:numPr>
        <w:spacing w:after="60"/>
      </w:pPr>
      <w:r>
        <w:t>Programme détaillé de formation ;</w:t>
      </w:r>
    </w:p>
    <w:p w14:paraId="6D60B7C0" w14:textId="77777777" w:rsidR="0017711C" w:rsidRDefault="00DA10C4">
      <w:pPr>
        <w:pStyle w:val="Paragraphedeliste"/>
        <w:numPr>
          <w:ilvl w:val="0"/>
          <w:numId w:val="2"/>
        </w:numPr>
        <w:spacing w:after="60"/>
      </w:pPr>
      <w:r>
        <w:t>CV des formateurs ;</w:t>
      </w:r>
    </w:p>
    <w:p w14:paraId="327638DC" w14:textId="77777777" w:rsidR="0017711C" w:rsidRDefault="00DA10C4">
      <w:pPr>
        <w:pStyle w:val="Paragraphedeliste"/>
        <w:numPr>
          <w:ilvl w:val="0"/>
          <w:numId w:val="2"/>
        </w:numPr>
        <w:spacing w:after="60"/>
      </w:pPr>
      <w:r>
        <w:t>Méthodologie de mise en œuvre et charge de travail ;</w:t>
      </w:r>
    </w:p>
    <w:p w14:paraId="7C70305A" w14:textId="77777777" w:rsidR="0017711C" w:rsidRDefault="00DA10C4">
      <w:pPr>
        <w:pStyle w:val="Paragraphedeliste"/>
        <w:numPr>
          <w:ilvl w:val="0"/>
          <w:numId w:val="2"/>
        </w:numPr>
        <w:spacing w:after="60"/>
      </w:pPr>
      <w:r>
        <w:t>Références similaires ;</w:t>
      </w:r>
    </w:p>
    <w:p w14:paraId="76FBE421" w14:textId="77777777" w:rsidR="0017711C" w:rsidRDefault="00DA10C4">
      <w:pPr>
        <w:pStyle w:val="Paragraphedeliste"/>
        <w:numPr>
          <w:ilvl w:val="0"/>
          <w:numId w:val="2"/>
        </w:numPr>
        <w:spacing w:after="60"/>
      </w:pPr>
      <w:r>
        <w:t>Planning d’exécution.</w:t>
      </w:r>
    </w:p>
    <w:p w14:paraId="386BB482" w14:textId="77777777" w:rsidR="0017711C" w:rsidRDefault="00DA10C4">
      <w:pPr>
        <w:pStyle w:val="Titre2"/>
      </w:pPr>
      <w:bookmarkStart w:id="75" w:name="_Toc227736975"/>
      <w:r>
        <w:t>3. Contenu de l’offre financière</w:t>
      </w:r>
      <w:bookmarkEnd w:id="75"/>
    </w:p>
    <w:p w14:paraId="16F8B612" w14:textId="77777777" w:rsidR="0017711C" w:rsidRDefault="00DA10C4">
      <w:pPr>
        <w:pStyle w:val="Paragraphedeliste"/>
        <w:numPr>
          <w:ilvl w:val="0"/>
          <w:numId w:val="2"/>
        </w:numPr>
        <w:spacing w:after="60"/>
      </w:pPr>
      <w:r>
        <w:t>Coût de la formation par participant ;</w:t>
      </w:r>
    </w:p>
    <w:p w14:paraId="5E6D9805" w14:textId="77777777" w:rsidR="0017711C" w:rsidRDefault="00DA10C4">
      <w:pPr>
        <w:pStyle w:val="Paragraphedeliste"/>
        <w:numPr>
          <w:ilvl w:val="0"/>
          <w:numId w:val="2"/>
        </w:numPr>
        <w:spacing w:after="60"/>
      </w:pPr>
      <w:r>
        <w:t>Coût global ;</w:t>
      </w:r>
    </w:p>
    <w:p w14:paraId="2D6DDC99" w14:textId="77777777" w:rsidR="0017711C" w:rsidRDefault="00DA10C4">
      <w:pPr>
        <w:pStyle w:val="Paragraphedeliste"/>
        <w:numPr>
          <w:ilvl w:val="0"/>
          <w:numId w:val="2"/>
        </w:numPr>
        <w:spacing w:after="60"/>
      </w:pPr>
      <w:r>
        <w:t>Coût des évaluations (si applicable) ;</w:t>
      </w:r>
    </w:p>
    <w:p w14:paraId="6AB498D2" w14:textId="77777777" w:rsidR="0017711C" w:rsidRDefault="00DA10C4">
      <w:pPr>
        <w:pStyle w:val="Paragraphedeliste"/>
        <w:numPr>
          <w:ilvl w:val="0"/>
          <w:numId w:val="2"/>
        </w:numPr>
        <w:spacing w:after="60"/>
      </w:pPr>
      <w:r>
        <w:t>Modalités de paiement.</w:t>
      </w:r>
    </w:p>
    <w:p w14:paraId="2D5795D2" w14:textId="77777777" w:rsidR="0017711C" w:rsidRDefault="00DA10C4">
      <w:r>
        <w:br w:type="page"/>
      </w:r>
    </w:p>
    <w:p w14:paraId="141B517D" w14:textId="77777777" w:rsidR="0017711C" w:rsidRDefault="00DA10C4">
      <w:pPr>
        <w:pStyle w:val="Titre1"/>
      </w:pPr>
      <w:bookmarkStart w:id="76" w:name="_Toc227736976"/>
      <w:r>
        <w:t>ANNEXE 1 – Modèle de forme proposée pour l’offre technique</w:t>
      </w:r>
      <w:bookmarkEnd w:id="76"/>
    </w:p>
    <w:p w14:paraId="7711E4B9" w14:textId="77777777" w:rsidR="0017711C" w:rsidRDefault="00DA10C4">
      <w:pPr>
        <w:spacing w:after="120"/>
        <w:jc w:val="both"/>
      </w:pPr>
      <w:r>
        <w:rPr>
          <w:b/>
          <w:bCs/>
        </w:rPr>
        <w:t>1. Page de garde</w:t>
      </w:r>
    </w:p>
    <w:p w14:paraId="048095E1" w14:textId="77777777" w:rsidR="0017711C" w:rsidRDefault="00DA10C4">
      <w:pPr>
        <w:pStyle w:val="Paragraphedeliste"/>
        <w:numPr>
          <w:ilvl w:val="0"/>
          <w:numId w:val="2"/>
        </w:numPr>
        <w:spacing w:after="60"/>
      </w:pPr>
      <w:r>
        <w:t>Titre de l’offre : Indiquer clairement le titre du projet et le(s) lot(s) concerné(s).</w:t>
      </w:r>
    </w:p>
    <w:p w14:paraId="54029834" w14:textId="77777777" w:rsidR="0017711C" w:rsidRDefault="00DA10C4">
      <w:pPr>
        <w:pStyle w:val="Paragraphedeliste"/>
        <w:numPr>
          <w:ilvl w:val="0"/>
          <w:numId w:val="2"/>
        </w:numPr>
        <w:spacing w:after="60"/>
      </w:pPr>
      <w:r>
        <w:t>Nom de l’entreprise : Mentionner l’entreprise soumissionnaire.</w:t>
      </w:r>
    </w:p>
    <w:p w14:paraId="0295D6F7" w14:textId="77777777" w:rsidR="0017711C" w:rsidRDefault="00DA10C4">
      <w:pPr>
        <w:pStyle w:val="Paragraphedeliste"/>
        <w:numPr>
          <w:ilvl w:val="0"/>
          <w:numId w:val="2"/>
        </w:numPr>
        <w:spacing w:after="60"/>
      </w:pPr>
      <w:r>
        <w:t>Coordonnées : Adresse, téléphone, e-mail.</w:t>
      </w:r>
    </w:p>
    <w:p w14:paraId="49646D90" w14:textId="77777777" w:rsidR="0017711C" w:rsidRDefault="00DA10C4">
      <w:pPr>
        <w:pStyle w:val="Paragraphedeliste"/>
        <w:numPr>
          <w:ilvl w:val="0"/>
          <w:numId w:val="2"/>
        </w:numPr>
        <w:spacing w:after="60"/>
      </w:pPr>
      <w:r>
        <w:t>Date : La date de soumission de l’offre.</w:t>
      </w:r>
    </w:p>
    <w:p w14:paraId="2CCC111F" w14:textId="77777777" w:rsidR="0017711C" w:rsidRDefault="00DA10C4">
      <w:pPr>
        <w:pStyle w:val="Paragraphedeliste"/>
        <w:numPr>
          <w:ilvl w:val="0"/>
          <w:numId w:val="2"/>
        </w:numPr>
        <w:spacing w:after="60"/>
      </w:pPr>
      <w:r>
        <w:t>Référence : Numéro de l’appel d’offres, référence du projet.</w:t>
      </w:r>
    </w:p>
    <w:p w14:paraId="2BB99AA5" w14:textId="77777777" w:rsidR="0017711C" w:rsidRDefault="0017711C">
      <w:pPr>
        <w:spacing w:after="120"/>
      </w:pPr>
    </w:p>
    <w:p w14:paraId="0A6E7141" w14:textId="77777777" w:rsidR="0017711C" w:rsidRDefault="00DA10C4">
      <w:pPr>
        <w:spacing w:after="120"/>
        <w:jc w:val="both"/>
      </w:pPr>
      <w:r>
        <w:rPr>
          <w:b/>
          <w:bCs/>
        </w:rPr>
        <w:t>2. Sommaire / Table des matières</w:t>
      </w:r>
    </w:p>
    <w:p w14:paraId="49FB7EC3" w14:textId="77777777" w:rsidR="0017711C" w:rsidRDefault="00DA10C4">
      <w:pPr>
        <w:pStyle w:val="Paragraphedeliste"/>
        <w:numPr>
          <w:ilvl w:val="0"/>
          <w:numId w:val="2"/>
        </w:numPr>
        <w:spacing w:after="60"/>
      </w:pPr>
      <w:r>
        <w:t>Présenter un aperçu des sections de l’offre technique avec des numéros de page pour faciliter la navigation.</w:t>
      </w:r>
    </w:p>
    <w:p w14:paraId="503AE8DD" w14:textId="77777777" w:rsidR="0017711C" w:rsidRDefault="0017711C">
      <w:pPr>
        <w:spacing w:after="120"/>
      </w:pPr>
    </w:p>
    <w:p w14:paraId="7F0440F2" w14:textId="77777777" w:rsidR="0017711C" w:rsidRDefault="00DA10C4">
      <w:pPr>
        <w:spacing w:after="120"/>
        <w:jc w:val="both"/>
      </w:pPr>
      <w:r>
        <w:rPr>
          <w:b/>
          <w:bCs/>
        </w:rPr>
        <w:t>3. Présentation de l’entreprise</w:t>
      </w:r>
    </w:p>
    <w:p w14:paraId="613C7BDF" w14:textId="77777777" w:rsidR="0017711C" w:rsidRDefault="00DA10C4">
      <w:pPr>
        <w:pStyle w:val="Paragraphedeliste"/>
        <w:numPr>
          <w:ilvl w:val="0"/>
          <w:numId w:val="2"/>
        </w:numPr>
        <w:spacing w:after="60"/>
      </w:pPr>
      <w:r>
        <w:t>Historique de l’entreprise : Brève présentation, mission, expérience et domaines d’expertise.</w:t>
      </w:r>
    </w:p>
    <w:p w14:paraId="686912DE" w14:textId="77777777" w:rsidR="0017711C" w:rsidRDefault="00DA10C4">
      <w:pPr>
        <w:pStyle w:val="Paragraphedeliste"/>
        <w:numPr>
          <w:ilvl w:val="0"/>
          <w:numId w:val="2"/>
        </w:numPr>
        <w:spacing w:after="60"/>
      </w:pPr>
      <w:r>
        <w:t>Organigramme : Description des équipes affectées au projet, avec les noms et rôles des responsables.</w:t>
      </w:r>
    </w:p>
    <w:p w14:paraId="2205CE54" w14:textId="77777777" w:rsidR="0017711C" w:rsidRDefault="00DA10C4">
      <w:pPr>
        <w:pStyle w:val="Paragraphedeliste"/>
        <w:numPr>
          <w:ilvl w:val="0"/>
          <w:numId w:val="2"/>
        </w:numPr>
        <w:spacing w:after="60"/>
      </w:pPr>
      <w:r>
        <w:t>Références clients : Exemples de projets similaires réalisés avec succès.</w:t>
      </w:r>
    </w:p>
    <w:p w14:paraId="53C933C6" w14:textId="77777777" w:rsidR="0017711C" w:rsidRDefault="0017711C">
      <w:pPr>
        <w:spacing w:after="120"/>
      </w:pPr>
    </w:p>
    <w:p w14:paraId="68D402CD" w14:textId="77777777" w:rsidR="0017711C" w:rsidRDefault="00DA10C4">
      <w:pPr>
        <w:spacing w:after="120"/>
        <w:jc w:val="both"/>
      </w:pPr>
      <w:r>
        <w:rPr>
          <w:b/>
          <w:bCs/>
        </w:rPr>
        <w:t>4. Objectifs du projet et compréhension des besoins</w:t>
      </w:r>
    </w:p>
    <w:p w14:paraId="287C6471" w14:textId="77777777" w:rsidR="0017711C" w:rsidRDefault="00DA10C4">
      <w:pPr>
        <w:pStyle w:val="Paragraphedeliste"/>
        <w:numPr>
          <w:ilvl w:val="0"/>
          <w:numId w:val="2"/>
        </w:numPr>
        <w:spacing w:after="60"/>
      </w:pPr>
      <w:r>
        <w:t>Présentation des objectifs du projet : Résumer les objectifs et les attentes du client.</w:t>
      </w:r>
    </w:p>
    <w:p w14:paraId="47260117" w14:textId="77777777" w:rsidR="0017711C" w:rsidRDefault="00DA10C4">
      <w:pPr>
        <w:pStyle w:val="Paragraphedeliste"/>
        <w:numPr>
          <w:ilvl w:val="0"/>
          <w:numId w:val="2"/>
        </w:numPr>
        <w:spacing w:after="60"/>
      </w:pPr>
      <w:r>
        <w:t>Analyse des besoins : Expliquer comment vous avez compris les besoins techniques du client.</w:t>
      </w:r>
    </w:p>
    <w:p w14:paraId="1804B87C" w14:textId="77777777" w:rsidR="0017711C" w:rsidRDefault="0017711C">
      <w:pPr>
        <w:spacing w:after="120"/>
      </w:pPr>
    </w:p>
    <w:p w14:paraId="08261A75" w14:textId="77777777" w:rsidR="0017711C" w:rsidRDefault="00DA10C4">
      <w:pPr>
        <w:spacing w:after="120"/>
        <w:jc w:val="both"/>
      </w:pPr>
      <w:r>
        <w:rPr>
          <w:b/>
          <w:bCs/>
        </w:rPr>
        <w:t>5. Méthodologie et approche technique</w:t>
      </w:r>
    </w:p>
    <w:p w14:paraId="38D1B0D4" w14:textId="77777777" w:rsidR="0017711C" w:rsidRDefault="00DA10C4">
      <w:pPr>
        <w:pStyle w:val="Paragraphedeliste"/>
        <w:numPr>
          <w:ilvl w:val="0"/>
          <w:numId w:val="2"/>
        </w:numPr>
        <w:spacing w:after="60"/>
      </w:pPr>
      <w:r>
        <w:t>Description des solutions proposées : Détaillez les solutions techniques.</w:t>
      </w:r>
    </w:p>
    <w:p w14:paraId="5F7982F1" w14:textId="77777777" w:rsidR="0017711C" w:rsidRDefault="00DA10C4">
      <w:pPr>
        <w:pStyle w:val="Paragraphedeliste"/>
        <w:numPr>
          <w:ilvl w:val="0"/>
          <w:numId w:val="2"/>
        </w:numPr>
        <w:spacing w:after="60"/>
      </w:pPr>
      <w:r>
        <w:t>Planification et délais : Présentez les étapes clés du projet et le calendrier proposé.</w:t>
      </w:r>
    </w:p>
    <w:p w14:paraId="53A12DCB" w14:textId="77777777" w:rsidR="0017711C" w:rsidRDefault="00DA10C4">
      <w:pPr>
        <w:pStyle w:val="Paragraphedeliste"/>
        <w:numPr>
          <w:ilvl w:val="0"/>
          <w:numId w:val="2"/>
        </w:numPr>
        <w:spacing w:after="60"/>
      </w:pPr>
      <w:r>
        <w:t>Ressources humaines et matérielles : Liste des ressources allouées au projet.</w:t>
      </w:r>
    </w:p>
    <w:p w14:paraId="6966A135" w14:textId="77777777" w:rsidR="0017711C" w:rsidRDefault="0017711C">
      <w:pPr>
        <w:spacing w:after="120"/>
      </w:pPr>
    </w:p>
    <w:p w14:paraId="21434DA4" w14:textId="77777777" w:rsidR="0017711C" w:rsidRDefault="00DA10C4">
      <w:pPr>
        <w:spacing w:after="120"/>
        <w:jc w:val="both"/>
      </w:pPr>
      <w:r>
        <w:rPr>
          <w:b/>
          <w:bCs/>
        </w:rPr>
        <w:t>6. Plan de gestion des risques</w:t>
      </w:r>
    </w:p>
    <w:p w14:paraId="2E0648D2" w14:textId="77777777" w:rsidR="0017711C" w:rsidRDefault="00DA10C4">
      <w:pPr>
        <w:pStyle w:val="Paragraphedeliste"/>
        <w:numPr>
          <w:ilvl w:val="0"/>
          <w:numId w:val="2"/>
        </w:numPr>
        <w:spacing w:after="60"/>
      </w:pPr>
      <w:r>
        <w:t>Identification des risques associés au projet.</w:t>
      </w:r>
    </w:p>
    <w:p w14:paraId="42247BA0" w14:textId="77777777" w:rsidR="0017711C" w:rsidRDefault="00DA10C4">
      <w:pPr>
        <w:pStyle w:val="Paragraphedeliste"/>
        <w:numPr>
          <w:ilvl w:val="0"/>
          <w:numId w:val="2"/>
        </w:numPr>
        <w:spacing w:after="60"/>
      </w:pPr>
      <w:r>
        <w:t>Plan de mitigation des risques.</w:t>
      </w:r>
    </w:p>
    <w:p w14:paraId="0CA79314" w14:textId="77777777" w:rsidR="0017711C" w:rsidRDefault="0017711C">
      <w:pPr>
        <w:spacing w:after="120"/>
      </w:pPr>
    </w:p>
    <w:p w14:paraId="13C2139A" w14:textId="77777777" w:rsidR="0017711C" w:rsidRDefault="00DA10C4">
      <w:pPr>
        <w:spacing w:after="120"/>
        <w:jc w:val="both"/>
      </w:pPr>
      <w:r>
        <w:rPr>
          <w:b/>
          <w:bCs/>
        </w:rPr>
        <w:t>7. Conformité aux normes et exigences réglementaires</w:t>
      </w:r>
    </w:p>
    <w:p w14:paraId="1776AA4E" w14:textId="77777777" w:rsidR="0017711C" w:rsidRDefault="00DA10C4">
      <w:pPr>
        <w:pStyle w:val="Paragraphedeliste"/>
        <w:numPr>
          <w:ilvl w:val="0"/>
          <w:numId w:val="2"/>
        </w:numPr>
        <w:spacing w:after="60"/>
      </w:pPr>
      <w:r>
        <w:t>Respect des normes : Détailler les normes pertinentes.</w:t>
      </w:r>
    </w:p>
    <w:p w14:paraId="3E701E05" w14:textId="77777777" w:rsidR="0017711C" w:rsidRDefault="00DA10C4">
      <w:pPr>
        <w:pStyle w:val="Paragraphedeliste"/>
        <w:numPr>
          <w:ilvl w:val="0"/>
          <w:numId w:val="2"/>
        </w:numPr>
        <w:spacing w:after="60"/>
      </w:pPr>
      <w:r>
        <w:t>Certifications et accréditations.</w:t>
      </w:r>
    </w:p>
    <w:p w14:paraId="6E3C7BAF" w14:textId="77777777" w:rsidR="0017711C" w:rsidRDefault="0017711C">
      <w:pPr>
        <w:spacing w:after="120"/>
      </w:pPr>
    </w:p>
    <w:p w14:paraId="2161C88F" w14:textId="77777777" w:rsidR="0017711C" w:rsidRDefault="00DA10C4">
      <w:pPr>
        <w:spacing w:after="120"/>
        <w:jc w:val="both"/>
      </w:pPr>
      <w:r>
        <w:rPr>
          <w:b/>
          <w:bCs/>
        </w:rPr>
        <w:t>8. Suivi et contrôle qualité</w:t>
      </w:r>
    </w:p>
    <w:p w14:paraId="3F57E3A6" w14:textId="77777777" w:rsidR="0017711C" w:rsidRDefault="00DA10C4">
      <w:pPr>
        <w:pStyle w:val="Paragraphedeliste"/>
        <w:numPr>
          <w:ilvl w:val="0"/>
          <w:numId w:val="2"/>
        </w:numPr>
        <w:spacing w:after="60"/>
      </w:pPr>
      <w:r>
        <w:t>Méthodes de contrôle qualité.</w:t>
      </w:r>
    </w:p>
    <w:p w14:paraId="29C53F02" w14:textId="77777777" w:rsidR="0017711C" w:rsidRDefault="00DA10C4">
      <w:pPr>
        <w:pStyle w:val="Paragraphedeliste"/>
        <w:numPr>
          <w:ilvl w:val="0"/>
          <w:numId w:val="2"/>
        </w:numPr>
        <w:spacing w:after="60"/>
      </w:pPr>
      <w:r>
        <w:t>Suivi de l’avancement du projet (rapports réguliers, réunions de suivi).</w:t>
      </w:r>
    </w:p>
    <w:p w14:paraId="0F0EF231" w14:textId="77777777" w:rsidR="0017711C" w:rsidRDefault="0017711C">
      <w:pPr>
        <w:spacing w:after="120"/>
      </w:pPr>
    </w:p>
    <w:p w14:paraId="4B6DF9B2" w14:textId="77777777" w:rsidR="0017711C" w:rsidRDefault="00DA10C4">
      <w:pPr>
        <w:spacing w:after="120"/>
        <w:jc w:val="both"/>
      </w:pPr>
      <w:r>
        <w:rPr>
          <w:b/>
          <w:bCs/>
        </w:rPr>
        <w:t>9. Maintenance et support (si applicable)</w:t>
      </w:r>
    </w:p>
    <w:p w14:paraId="55110ED5" w14:textId="77777777" w:rsidR="0017711C" w:rsidRDefault="00DA10C4">
      <w:pPr>
        <w:pStyle w:val="Paragraphedeliste"/>
        <w:numPr>
          <w:ilvl w:val="0"/>
          <w:numId w:val="2"/>
        </w:numPr>
        <w:spacing w:after="60"/>
      </w:pPr>
      <w:r>
        <w:t>Maintenance après projet.</w:t>
      </w:r>
    </w:p>
    <w:p w14:paraId="0A72F42C" w14:textId="77777777" w:rsidR="0017711C" w:rsidRDefault="00DA10C4">
      <w:pPr>
        <w:pStyle w:val="Paragraphedeliste"/>
        <w:numPr>
          <w:ilvl w:val="0"/>
          <w:numId w:val="2"/>
        </w:numPr>
        <w:spacing w:after="60"/>
      </w:pPr>
      <w:r>
        <w:t>Plan de support.</w:t>
      </w:r>
    </w:p>
    <w:p w14:paraId="770DF9F2" w14:textId="77777777" w:rsidR="0017711C" w:rsidRDefault="0017711C">
      <w:pPr>
        <w:spacing w:after="120"/>
      </w:pPr>
    </w:p>
    <w:p w14:paraId="6E3AC16E" w14:textId="77777777" w:rsidR="0017711C" w:rsidRDefault="00DA10C4">
      <w:pPr>
        <w:spacing w:after="120"/>
        <w:jc w:val="both"/>
      </w:pPr>
      <w:r>
        <w:rPr>
          <w:b/>
          <w:bCs/>
        </w:rPr>
        <w:t>10. Annexes</w:t>
      </w:r>
    </w:p>
    <w:p w14:paraId="5F1B975D" w14:textId="77777777" w:rsidR="0017711C" w:rsidRDefault="00DA10C4">
      <w:pPr>
        <w:pStyle w:val="Paragraphedeliste"/>
        <w:numPr>
          <w:ilvl w:val="0"/>
          <w:numId w:val="2"/>
        </w:numPr>
        <w:spacing w:after="60"/>
      </w:pPr>
      <w:r>
        <w:t>Documents techniques supplémentaires.</w:t>
      </w:r>
    </w:p>
    <w:p w14:paraId="408AB51C" w14:textId="77777777" w:rsidR="0017711C" w:rsidRDefault="00DA10C4">
      <w:pPr>
        <w:pStyle w:val="Paragraphedeliste"/>
        <w:numPr>
          <w:ilvl w:val="0"/>
          <w:numId w:val="2"/>
        </w:numPr>
        <w:spacing w:after="60"/>
      </w:pPr>
      <w:r>
        <w:t>CV des membres clés de l’équipe.</w:t>
      </w:r>
    </w:p>
    <w:p w14:paraId="2452C359" w14:textId="77777777" w:rsidR="0017711C" w:rsidRDefault="00DA10C4">
      <w:pPr>
        <w:pStyle w:val="Paragraphedeliste"/>
        <w:numPr>
          <w:ilvl w:val="0"/>
          <w:numId w:val="2"/>
        </w:numPr>
        <w:spacing w:after="60"/>
      </w:pPr>
      <w:r>
        <w:t>Références.</w:t>
      </w:r>
    </w:p>
    <w:p w14:paraId="161CEE73" w14:textId="77777777" w:rsidR="0017711C" w:rsidRDefault="0017711C">
      <w:pPr>
        <w:spacing w:after="120"/>
      </w:pPr>
    </w:p>
    <w:sectPr w:rsidR="0017711C">
      <w:footerReference w:type="default" r:id="rId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E64BC" w14:textId="77777777" w:rsidR="00B036B1" w:rsidRDefault="00B036B1">
      <w:r>
        <w:separator/>
      </w:r>
    </w:p>
  </w:endnote>
  <w:endnote w:type="continuationSeparator" w:id="0">
    <w:p w14:paraId="5A58AEEF" w14:textId="77777777" w:rsidR="00B036B1" w:rsidRDefault="00B0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ontserrat">
    <w:panose1 w:val="00000000000000000000"/>
    <w:charset w:val="00"/>
    <w:family w:val="auto"/>
    <w:pitch w:val="variable"/>
    <w:sig w:usb0="A00002FF" w:usb1="4000207B" w:usb2="00000000" w:usb3="00000000" w:csb0="00000197"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A805" w14:textId="772FB0D3" w:rsidR="0017711C" w:rsidRDefault="00DA10C4">
    <w:pPr>
      <w:pBdr>
        <w:top w:val="single" w:sz="1" w:space="4" w:color="CCCCCC"/>
      </w:pBdr>
      <w:tabs>
        <w:tab w:val="right" w:pos="9026"/>
      </w:tabs>
    </w:pPr>
    <w:r>
      <w:tab/>
    </w:r>
    <w:r>
      <w:rPr>
        <w:color w:val="999999"/>
        <w:sz w:val="16"/>
        <w:szCs w:val="16"/>
      </w:rPr>
      <w:t xml:space="preserve">Page </w:t>
    </w:r>
    <w:r>
      <w:rPr>
        <w:color w:val="999999"/>
        <w:sz w:val="16"/>
        <w:szCs w:val="16"/>
      </w:rPr>
      <w:fldChar w:fldCharType="begin"/>
    </w:r>
    <w:r>
      <w:rPr>
        <w:color w:val="999999"/>
        <w:sz w:val="16"/>
        <w:szCs w:val="16"/>
      </w:rPr>
      <w:instrText>PAGE</w:instrText>
    </w:r>
    <w:r>
      <w:rPr>
        <w:color w:val="999999"/>
        <w:sz w:val="16"/>
        <w:szCs w:val="16"/>
      </w:rPr>
      <w:fldChar w:fldCharType="separate"/>
    </w:r>
    <w:r w:rsidR="005B1070">
      <w:rPr>
        <w:noProof/>
        <w:color w:val="999999"/>
        <w:sz w:val="16"/>
        <w:szCs w:val="16"/>
      </w:rPr>
      <w:t>1</w:t>
    </w:r>
    <w:r>
      <w:rPr>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9D954" w14:textId="77777777" w:rsidR="00B036B1" w:rsidRDefault="00B036B1">
      <w:r>
        <w:separator/>
      </w:r>
    </w:p>
  </w:footnote>
  <w:footnote w:type="continuationSeparator" w:id="0">
    <w:p w14:paraId="28FDF8DB" w14:textId="77777777" w:rsidR="00B036B1" w:rsidRDefault="00B03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86CC0"/>
    <w:multiLevelType w:val="hybridMultilevel"/>
    <w:tmpl w:val="9C5CECD6"/>
    <w:lvl w:ilvl="0" w:tplc="4DAC2602">
      <w:start w:val="1"/>
      <w:numFmt w:val="decimal"/>
      <w:lvlText w:val="%1."/>
      <w:lvlJc w:val="left"/>
      <w:pPr>
        <w:ind w:left="720" w:hanging="360"/>
      </w:pPr>
    </w:lvl>
    <w:lvl w:ilvl="1" w:tplc="76AE50EC">
      <w:numFmt w:val="decimal"/>
      <w:lvlText w:val=""/>
      <w:lvlJc w:val="left"/>
    </w:lvl>
    <w:lvl w:ilvl="2" w:tplc="BF06FA08">
      <w:numFmt w:val="decimal"/>
      <w:lvlText w:val=""/>
      <w:lvlJc w:val="left"/>
    </w:lvl>
    <w:lvl w:ilvl="3" w:tplc="9BE090DC">
      <w:numFmt w:val="decimal"/>
      <w:lvlText w:val=""/>
      <w:lvlJc w:val="left"/>
    </w:lvl>
    <w:lvl w:ilvl="4" w:tplc="C0B8CDAA">
      <w:numFmt w:val="decimal"/>
      <w:lvlText w:val=""/>
      <w:lvlJc w:val="left"/>
    </w:lvl>
    <w:lvl w:ilvl="5" w:tplc="91F4A522">
      <w:numFmt w:val="decimal"/>
      <w:lvlText w:val=""/>
      <w:lvlJc w:val="left"/>
    </w:lvl>
    <w:lvl w:ilvl="6" w:tplc="A23E8C58">
      <w:numFmt w:val="decimal"/>
      <w:lvlText w:val=""/>
      <w:lvlJc w:val="left"/>
    </w:lvl>
    <w:lvl w:ilvl="7" w:tplc="87C6180A">
      <w:numFmt w:val="decimal"/>
      <w:lvlText w:val=""/>
      <w:lvlJc w:val="left"/>
    </w:lvl>
    <w:lvl w:ilvl="8" w:tplc="A2AC3BAC">
      <w:numFmt w:val="decimal"/>
      <w:lvlText w:val=""/>
      <w:lvlJc w:val="left"/>
    </w:lvl>
  </w:abstractNum>
  <w:abstractNum w:abstractNumId="1" w15:restartNumberingAfterBreak="0">
    <w:nsid w:val="71005ADB"/>
    <w:multiLevelType w:val="hybridMultilevel"/>
    <w:tmpl w:val="015EDF98"/>
    <w:lvl w:ilvl="0" w:tplc="52A28922">
      <w:start w:val="1"/>
      <w:numFmt w:val="bullet"/>
      <w:lvlText w:val="●"/>
      <w:lvlJc w:val="left"/>
      <w:pPr>
        <w:ind w:left="720" w:hanging="360"/>
      </w:pPr>
    </w:lvl>
    <w:lvl w:ilvl="1" w:tplc="79B21D4E">
      <w:start w:val="1"/>
      <w:numFmt w:val="bullet"/>
      <w:lvlText w:val="○"/>
      <w:lvlJc w:val="left"/>
      <w:pPr>
        <w:ind w:left="1440" w:hanging="360"/>
      </w:pPr>
    </w:lvl>
    <w:lvl w:ilvl="2" w:tplc="C1BCC686">
      <w:start w:val="1"/>
      <w:numFmt w:val="bullet"/>
      <w:lvlText w:val="■"/>
      <w:lvlJc w:val="left"/>
      <w:pPr>
        <w:ind w:left="2160" w:hanging="360"/>
      </w:pPr>
    </w:lvl>
    <w:lvl w:ilvl="3" w:tplc="98EACAF8">
      <w:start w:val="1"/>
      <w:numFmt w:val="bullet"/>
      <w:lvlText w:val="●"/>
      <w:lvlJc w:val="left"/>
      <w:pPr>
        <w:ind w:left="2880" w:hanging="360"/>
      </w:pPr>
    </w:lvl>
    <w:lvl w:ilvl="4" w:tplc="1B1A334C">
      <w:start w:val="1"/>
      <w:numFmt w:val="bullet"/>
      <w:lvlText w:val="○"/>
      <w:lvlJc w:val="left"/>
      <w:pPr>
        <w:ind w:left="3600" w:hanging="360"/>
      </w:pPr>
    </w:lvl>
    <w:lvl w:ilvl="5" w:tplc="48F42772">
      <w:start w:val="1"/>
      <w:numFmt w:val="bullet"/>
      <w:lvlText w:val="■"/>
      <w:lvlJc w:val="left"/>
      <w:pPr>
        <w:ind w:left="4320" w:hanging="360"/>
      </w:pPr>
    </w:lvl>
    <w:lvl w:ilvl="6" w:tplc="B8842AC2">
      <w:start w:val="1"/>
      <w:numFmt w:val="bullet"/>
      <w:lvlText w:val="●"/>
      <w:lvlJc w:val="left"/>
      <w:pPr>
        <w:ind w:left="5040" w:hanging="360"/>
      </w:pPr>
    </w:lvl>
    <w:lvl w:ilvl="7" w:tplc="A7444984">
      <w:start w:val="1"/>
      <w:numFmt w:val="bullet"/>
      <w:lvlText w:val="●"/>
      <w:lvlJc w:val="left"/>
      <w:pPr>
        <w:ind w:left="5760" w:hanging="360"/>
      </w:pPr>
    </w:lvl>
    <w:lvl w:ilvl="8" w:tplc="D9B804CC">
      <w:start w:val="1"/>
      <w:numFmt w:val="bullet"/>
      <w:lvlText w:val="●"/>
      <w:lvlJc w:val="left"/>
      <w:pPr>
        <w:ind w:left="6480" w:hanging="360"/>
      </w:pPr>
    </w:lvl>
  </w:abstractNum>
  <w:abstractNum w:abstractNumId="2" w15:restartNumberingAfterBreak="0">
    <w:nsid w:val="755872B1"/>
    <w:multiLevelType w:val="hybridMultilevel"/>
    <w:tmpl w:val="9CE2F90C"/>
    <w:lvl w:ilvl="0" w:tplc="E028013E">
      <w:start w:val="1"/>
      <w:numFmt w:val="bullet"/>
      <w:lvlText w:val="•"/>
      <w:lvlJc w:val="left"/>
      <w:pPr>
        <w:ind w:left="720" w:hanging="360"/>
      </w:pPr>
    </w:lvl>
    <w:lvl w:ilvl="1" w:tplc="EF6A5902">
      <w:numFmt w:val="decimal"/>
      <w:lvlText w:val=""/>
      <w:lvlJc w:val="left"/>
    </w:lvl>
    <w:lvl w:ilvl="2" w:tplc="02D4EB0E">
      <w:numFmt w:val="decimal"/>
      <w:lvlText w:val=""/>
      <w:lvlJc w:val="left"/>
    </w:lvl>
    <w:lvl w:ilvl="3" w:tplc="22E4D514">
      <w:numFmt w:val="decimal"/>
      <w:lvlText w:val=""/>
      <w:lvlJc w:val="left"/>
    </w:lvl>
    <w:lvl w:ilvl="4" w:tplc="DB8E64EA">
      <w:numFmt w:val="decimal"/>
      <w:lvlText w:val=""/>
      <w:lvlJc w:val="left"/>
    </w:lvl>
    <w:lvl w:ilvl="5" w:tplc="DB70EDBE">
      <w:numFmt w:val="decimal"/>
      <w:lvlText w:val=""/>
      <w:lvlJc w:val="left"/>
    </w:lvl>
    <w:lvl w:ilvl="6" w:tplc="56BA821E">
      <w:numFmt w:val="decimal"/>
      <w:lvlText w:val=""/>
      <w:lvlJc w:val="left"/>
    </w:lvl>
    <w:lvl w:ilvl="7" w:tplc="39DC00B0">
      <w:numFmt w:val="decimal"/>
      <w:lvlText w:val=""/>
      <w:lvlJc w:val="left"/>
    </w:lvl>
    <w:lvl w:ilvl="8" w:tplc="C2CA5586">
      <w:numFmt w:val="decimal"/>
      <w:lvlText w:val=""/>
      <w:lvlJc w:val="left"/>
    </w:lvl>
  </w:abstractNum>
  <w:num w:numId="1" w16cid:durableId="2036223201">
    <w:abstractNumId w:val="1"/>
    <w:lvlOverride w:ilvl="0">
      <w:startOverride w:val="1"/>
    </w:lvlOverride>
  </w:num>
  <w:num w:numId="2" w16cid:durableId="38299407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11C"/>
    <w:rsid w:val="00032B90"/>
    <w:rsid w:val="0006254F"/>
    <w:rsid w:val="000941B0"/>
    <w:rsid w:val="0017711C"/>
    <w:rsid w:val="001E1405"/>
    <w:rsid w:val="00245E16"/>
    <w:rsid w:val="002F4F0A"/>
    <w:rsid w:val="00307903"/>
    <w:rsid w:val="00313C41"/>
    <w:rsid w:val="00356184"/>
    <w:rsid w:val="00363974"/>
    <w:rsid w:val="005B049E"/>
    <w:rsid w:val="005B1070"/>
    <w:rsid w:val="007C088A"/>
    <w:rsid w:val="00822077"/>
    <w:rsid w:val="0085046E"/>
    <w:rsid w:val="0090060B"/>
    <w:rsid w:val="00935A46"/>
    <w:rsid w:val="00A605D1"/>
    <w:rsid w:val="00B036B1"/>
    <w:rsid w:val="00BB18E8"/>
    <w:rsid w:val="00BD0296"/>
    <w:rsid w:val="00CF3D9D"/>
    <w:rsid w:val="00CF4E5A"/>
    <w:rsid w:val="00D97CAF"/>
    <w:rsid w:val="00DA10C4"/>
    <w:rsid w:val="00DB0A76"/>
    <w:rsid w:val="00DC5A16"/>
    <w:rsid w:val="00DE0836"/>
    <w:rsid w:val="00E11249"/>
    <w:rsid w:val="00E52542"/>
    <w:rsid w:val="00EA2F21"/>
    <w:rsid w:val="00FE30CB"/>
    <w:rsid w:val="00FE4C5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947E"/>
  <w15:docId w15:val="{05B32607-DDC2-4D1E-B3FC-0F7E0FF0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spacing w:before="360" w:after="200"/>
      <w:outlineLvl w:val="0"/>
    </w:pPr>
    <w:rPr>
      <w:b/>
      <w:bCs/>
      <w:color w:val="1F3864"/>
      <w:sz w:val="28"/>
      <w:szCs w:val="28"/>
    </w:rPr>
  </w:style>
  <w:style w:type="paragraph" w:styleId="Titre2">
    <w:name w:val="heading 2"/>
    <w:uiPriority w:val="9"/>
    <w:unhideWhenUsed/>
    <w:qFormat/>
    <w:pPr>
      <w:spacing w:before="240" w:after="120"/>
      <w:outlineLvl w:val="1"/>
    </w:pPr>
    <w:rPr>
      <w:b/>
      <w:bCs/>
      <w:color w:val="2E75B6"/>
      <w:sz w:val="24"/>
      <w:szCs w:val="24"/>
    </w:rPr>
  </w:style>
  <w:style w:type="paragraph" w:styleId="Titre3">
    <w:name w:val="heading 3"/>
    <w:uiPriority w:val="9"/>
    <w:unhideWhenUsed/>
    <w:qFormat/>
    <w:pPr>
      <w:spacing w:before="200" w:after="100"/>
      <w:outlineLvl w:val="2"/>
    </w:pPr>
    <w:rPr>
      <w:b/>
      <w:bCs/>
      <w:color w:val="2E75B6"/>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rPr>
      <w:sz w:val="20"/>
      <w:szCs w:val="20"/>
    </w:rPr>
  </w:style>
  <w:style w:type="character" w:customStyle="1" w:styleId="NotedefinCar">
    <w:name w:val="Note de fin Car"/>
    <w:link w:val="Notedefin"/>
    <w:uiPriority w:val="99"/>
    <w:semiHidden/>
    <w:unhideWhenUsed/>
    <w:rPr>
      <w:sz w:val="20"/>
      <w:szCs w:val="20"/>
    </w:rPr>
  </w:style>
  <w:style w:type="paragraph" w:styleId="En-tte">
    <w:name w:val="header"/>
    <w:basedOn w:val="Normal"/>
    <w:link w:val="En-tteCar"/>
    <w:uiPriority w:val="99"/>
    <w:unhideWhenUsed/>
    <w:rsid w:val="005B049E"/>
    <w:pPr>
      <w:tabs>
        <w:tab w:val="center" w:pos="4536"/>
        <w:tab w:val="right" w:pos="9072"/>
      </w:tabs>
    </w:pPr>
  </w:style>
  <w:style w:type="character" w:customStyle="1" w:styleId="En-tteCar">
    <w:name w:val="En-tête Car"/>
    <w:basedOn w:val="Policepardfaut"/>
    <w:link w:val="En-tte"/>
    <w:uiPriority w:val="99"/>
    <w:rsid w:val="005B049E"/>
  </w:style>
  <w:style w:type="paragraph" w:styleId="Pieddepage">
    <w:name w:val="footer"/>
    <w:basedOn w:val="Normal"/>
    <w:link w:val="PieddepageCar"/>
    <w:uiPriority w:val="99"/>
    <w:unhideWhenUsed/>
    <w:rsid w:val="005B049E"/>
    <w:pPr>
      <w:tabs>
        <w:tab w:val="center" w:pos="4536"/>
        <w:tab w:val="right" w:pos="9072"/>
      </w:tabs>
    </w:pPr>
  </w:style>
  <w:style w:type="character" w:customStyle="1" w:styleId="PieddepageCar">
    <w:name w:val="Pied de page Car"/>
    <w:basedOn w:val="Policepardfaut"/>
    <w:link w:val="Pieddepage"/>
    <w:uiPriority w:val="99"/>
    <w:rsid w:val="005B049E"/>
  </w:style>
  <w:style w:type="paragraph" w:styleId="TM1">
    <w:name w:val="toc 1"/>
    <w:basedOn w:val="Normal"/>
    <w:next w:val="Normal"/>
    <w:autoRedefine/>
    <w:uiPriority w:val="39"/>
    <w:unhideWhenUsed/>
    <w:rsid w:val="005B049E"/>
    <w:pPr>
      <w:spacing w:after="100"/>
    </w:pPr>
  </w:style>
  <w:style w:type="paragraph" w:styleId="TM2">
    <w:name w:val="toc 2"/>
    <w:basedOn w:val="Normal"/>
    <w:next w:val="Normal"/>
    <w:autoRedefine/>
    <w:uiPriority w:val="39"/>
    <w:unhideWhenUsed/>
    <w:rsid w:val="005B049E"/>
    <w:pPr>
      <w:spacing w:after="100"/>
      <w:ind w:left="220"/>
    </w:pPr>
  </w:style>
  <w:style w:type="paragraph" w:styleId="TM3">
    <w:name w:val="toc 3"/>
    <w:basedOn w:val="Normal"/>
    <w:next w:val="Normal"/>
    <w:autoRedefine/>
    <w:uiPriority w:val="39"/>
    <w:unhideWhenUsed/>
    <w:rsid w:val="005B04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6753</Words>
  <Characters>37147</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Chanel Dylane Bengono</dc:creator>
  <cp:lastModifiedBy>Chanel Dylane BENGONO</cp:lastModifiedBy>
  <cp:revision>4</cp:revision>
  <dcterms:created xsi:type="dcterms:W3CDTF">2026-04-22T06:53:00Z</dcterms:created>
  <dcterms:modified xsi:type="dcterms:W3CDTF">2026-04-22T06:55:00Z</dcterms:modified>
</cp:coreProperties>
</file>